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621E3DB7" w:rsidR="00792511" w:rsidRDefault="00792511" w:rsidP="00792511">
      <w:pPr>
        <w:rPr>
          <w:rFonts w:cstheme="minorHAnsi"/>
          <w:u w:val="single"/>
        </w:rPr>
      </w:pPr>
    </w:p>
    <w:p w14:paraId="64694AA6" w14:textId="77777777" w:rsidR="00B2073C" w:rsidRDefault="00B2073C" w:rsidP="00792511">
      <w:pPr>
        <w:pStyle w:val="BodyText"/>
        <w:ind w:left="0"/>
        <w:rPr>
          <w:rFonts w:asciiTheme="minorHAnsi" w:hAnsiTheme="minorHAnsi" w:cstheme="minorHAnsi"/>
          <w:noProof/>
          <w:sz w:val="24"/>
          <w:szCs w:val="24"/>
        </w:rPr>
      </w:pPr>
    </w:p>
    <w:p w14:paraId="6663109B" w14:textId="76819620" w:rsidR="00792511" w:rsidRPr="000216FE" w:rsidRDefault="00FB57D1"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October</w:t>
      </w:r>
      <w:r w:rsidR="00792511" w:rsidRPr="000216FE">
        <w:rPr>
          <w:rFonts w:asciiTheme="minorHAnsi" w:hAnsiTheme="minorHAnsi" w:cstheme="minorHAnsi"/>
          <w:noProof/>
          <w:sz w:val="24"/>
          <w:szCs w:val="24"/>
        </w:rPr>
        <w:t xml:space="preserve"> </w:t>
      </w:r>
      <w:r w:rsidR="00AF0652">
        <w:rPr>
          <w:rFonts w:asciiTheme="minorHAnsi" w:hAnsiTheme="minorHAnsi" w:cstheme="minorHAnsi"/>
          <w:noProof/>
          <w:sz w:val="24"/>
          <w:szCs w:val="24"/>
        </w:rPr>
        <w:t>1</w:t>
      </w:r>
      <w:r w:rsidR="00804BB3">
        <w:rPr>
          <w:rFonts w:asciiTheme="minorHAnsi" w:hAnsiTheme="minorHAnsi" w:cstheme="minorHAnsi"/>
          <w:noProof/>
          <w:sz w:val="24"/>
          <w:szCs w:val="24"/>
        </w:rPr>
        <w:t>8</w:t>
      </w:r>
      <w:r w:rsidR="00792511" w:rsidRPr="000216FE">
        <w:rPr>
          <w:rFonts w:asciiTheme="minorHAnsi" w:hAnsiTheme="minorHAnsi" w:cstheme="minorHAnsi"/>
          <w:noProof/>
          <w:sz w:val="24"/>
          <w:szCs w:val="24"/>
        </w:rPr>
        <w:t>, 202</w:t>
      </w:r>
      <w:r w:rsidR="00D06573">
        <w:rPr>
          <w:rFonts w:asciiTheme="minorHAnsi" w:hAnsiTheme="minorHAnsi" w:cstheme="minorHAnsi"/>
          <w:noProof/>
          <w:sz w:val="24"/>
          <w:szCs w:val="24"/>
        </w:rPr>
        <w:t>1</w:t>
      </w:r>
    </w:p>
    <w:p w14:paraId="4E1FEC2F" w14:textId="39B4B764" w:rsidR="00D84A49" w:rsidRDefault="00D84A49" w:rsidP="008E3E9B">
      <w:pPr>
        <w:pStyle w:val="BodyText"/>
        <w:tabs>
          <w:tab w:val="left" w:pos="1170"/>
        </w:tabs>
        <w:spacing w:before="38"/>
        <w:ind w:left="0"/>
        <w:rPr>
          <w:rFonts w:asciiTheme="minorHAnsi" w:hAnsiTheme="minorHAnsi" w:cstheme="minorHAnsi"/>
          <w:spacing w:val="-1"/>
          <w:sz w:val="24"/>
          <w:szCs w:val="24"/>
        </w:rPr>
      </w:pPr>
    </w:p>
    <w:p w14:paraId="150F0655" w14:textId="1CDF6681" w:rsidR="00B2073C" w:rsidRDefault="00B2073C" w:rsidP="00B2073C">
      <w:pPr>
        <w:rPr>
          <w:rFonts w:cstheme="minorHAnsi"/>
          <w:bCs/>
        </w:rPr>
      </w:pPr>
      <w:r>
        <w:rPr>
          <w:rFonts w:cstheme="minorHAnsi"/>
          <w:bCs/>
        </w:rPr>
        <w:t xml:space="preserve">Attendees: Pete Miller, Mark </w:t>
      </w:r>
      <w:r w:rsidR="00680D82">
        <w:rPr>
          <w:rFonts w:cstheme="minorHAnsi"/>
          <w:bCs/>
        </w:rPr>
        <w:t>H</w:t>
      </w:r>
      <w:r>
        <w:rPr>
          <w:rFonts w:cstheme="minorHAnsi"/>
          <w:bCs/>
        </w:rPr>
        <w:t xml:space="preserve">airston, </w:t>
      </w:r>
      <w:r w:rsidR="00680D82">
        <w:rPr>
          <w:rFonts w:cstheme="minorHAnsi"/>
          <w:bCs/>
        </w:rPr>
        <w:t>D</w:t>
      </w:r>
      <w:r>
        <w:rPr>
          <w:rFonts w:cstheme="minorHAnsi"/>
          <w:bCs/>
        </w:rPr>
        <w:t xml:space="preserve">errick Buisch, </w:t>
      </w:r>
      <w:r w:rsidR="00680D82">
        <w:rPr>
          <w:rFonts w:cstheme="minorHAnsi"/>
          <w:bCs/>
        </w:rPr>
        <w:t>A</w:t>
      </w:r>
      <w:r>
        <w:rPr>
          <w:rFonts w:cstheme="minorHAnsi"/>
          <w:bCs/>
        </w:rPr>
        <w:t xml:space="preserve">ndrea </w:t>
      </w:r>
      <w:r w:rsidR="00680D82">
        <w:rPr>
          <w:rFonts w:cstheme="minorHAnsi"/>
          <w:bCs/>
        </w:rPr>
        <w:t>H</w:t>
      </w:r>
      <w:r>
        <w:rPr>
          <w:rFonts w:cstheme="minorHAnsi"/>
          <w:bCs/>
        </w:rPr>
        <w:t xml:space="preserve">arris, </w:t>
      </w:r>
      <w:r w:rsidR="00680D82">
        <w:rPr>
          <w:rFonts w:cstheme="minorHAnsi"/>
          <w:bCs/>
        </w:rPr>
        <w:t>B</w:t>
      </w:r>
      <w:r>
        <w:rPr>
          <w:rFonts w:cstheme="minorHAnsi"/>
          <w:bCs/>
        </w:rPr>
        <w:t xml:space="preserve">ill </w:t>
      </w:r>
      <w:r w:rsidR="00680D82">
        <w:rPr>
          <w:rFonts w:cstheme="minorHAnsi"/>
          <w:bCs/>
        </w:rPr>
        <w:t>S</w:t>
      </w:r>
      <w:r>
        <w:rPr>
          <w:rFonts w:cstheme="minorHAnsi"/>
          <w:bCs/>
        </w:rPr>
        <w:t xml:space="preserve">chrage, </w:t>
      </w:r>
      <w:r w:rsidR="00680D82">
        <w:rPr>
          <w:rFonts w:cstheme="minorHAnsi"/>
          <w:bCs/>
        </w:rPr>
        <w:t>Je</w:t>
      </w:r>
      <w:r>
        <w:rPr>
          <w:rFonts w:cstheme="minorHAnsi"/>
          <w:bCs/>
        </w:rPr>
        <w:t xml:space="preserve">remy </w:t>
      </w:r>
      <w:r w:rsidR="00FE499D">
        <w:rPr>
          <w:rFonts w:cstheme="minorHAnsi"/>
          <w:bCs/>
        </w:rPr>
        <w:t>S</w:t>
      </w:r>
      <w:r>
        <w:rPr>
          <w:rFonts w:cstheme="minorHAnsi"/>
          <w:bCs/>
        </w:rPr>
        <w:t xml:space="preserve">toddard, </w:t>
      </w:r>
      <w:r w:rsidR="00FE499D">
        <w:rPr>
          <w:rFonts w:cstheme="minorHAnsi"/>
          <w:bCs/>
        </w:rPr>
        <w:t>Le</w:t>
      </w:r>
      <w:r>
        <w:rPr>
          <w:rFonts w:cstheme="minorHAnsi"/>
          <w:bCs/>
        </w:rPr>
        <w:t>s</w:t>
      </w:r>
      <w:r w:rsidR="00FE499D">
        <w:rPr>
          <w:rFonts w:cstheme="minorHAnsi"/>
          <w:bCs/>
        </w:rPr>
        <w:t>le</w:t>
      </w:r>
      <w:r>
        <w:rPr>
          <w:rFonts w:cstheme="minorHAnsi"/>
          <w:bCs/>
        </w:rPr>
        <w:t xml:space="preserve">y </w:t>
      </w:r>
      <w:r w:rsidR="00FE499D">
        <w:rPr>
          <w:rFonts w:cstheme="minorHAnsi"/>
          <w:bCs/>
        </w:rPr>
        <w:t>B</w:t>
      </w:r>
      <w:r>
        <w:rPr>
          <w:rFonts w:cstheme="minorHAnsi"/>
          <w:bCs/>
        </w:rPr>
        <w:t xml:space="preserve">artlett, </w:t>
      </w:r>
      <w:r w:rsidR="00FE499D">
        <w:rPr>
          <w:rFonts w:cstheme="minorHAnsi"/>
          <w:bCs/>
        </w:rPr>
        <w:t>C</w:t>
      </w:r>
      <w:r>
        <w:rPr>
          <w:rFonts w:cstheme="minorHAnsi"/>
          <w:bCs/>
        </w:rPr>
        <w:t xml:space="preserve">raig </w:t>
      </w:r>
      <w:r w:rsidR="00FE499D">
        <w:rPr>
          <w:rFonts w:cstheme="minorHAnsi"/>
          <w:bCs/>
        </w:rPr>
        <w:t>A</w:t>
      </w:r>
      <w:r>
        <w:rPr>
          <w:rFonts w:cstheme="minorHAnsi"/>
          <w:bCs/>
        </w:rPr>
        <w:t xml:space="preserve">lbers, </w:t>
      </w:r>
      <w:proofErr w:type="spellStart"/>
      <w:r w:rsidR="00FE499D">
        <w:rPr>
          <w:rFonts w:cstheme="minorHAnsi"/>
          <w:bCs/>
        </w:rPr>
        <w:t>J</w:t>
      </w:r>
      <w:r>
        <w:rPr>
          <w:rFonts w:cstheme="minorHAnsi"/>
          <w:bCs/>
        </w:rPr>
        <w:t>ina</w:t>
      </w:r>
      <w:proofErr w:type="spellEnd"/>
      <w:r>
        <w:rPr>
          <w:rFonts w:cstheme="minorHAnsi"/>
          <w:bCs/>
        </w:rPr>
        <w:t xml:space="preserve"> </w:t>
      </w:r>
      <w:r w:rsidR="00FE499D">
        <w:rPr>
          <w:rFonts w:cstheme="minorHAnsi"/>
          <w:bCs/>
        </w:rPr>
        <w:t>C</w:t>
      </w:r>
      <w:r>
        <w:rPr>
          <w:rFonts w:cstheme="minorHAnsi"/>
          <w:bCs/>
        </w:rPr>
        <w:t xml:space="preserve">hun, </w:t>
      </w:r>
      <w:r w:rsidR="00FE499D">
        <w:rPr>
          <w:rFonts w:cstheme="minorHAnsi"/>
          <w:bCs/>
        </w:rPr>
        <w:t>S</w:t>
      </w:r>
      <w:r>
        <w:rPr>
          <w:rFonts w:cstheme="minorHAnsi"/>
          <w:bCs/>
        </w:rPr>
        <w:t xml:space="preserve">teve </w:t>
      </w:r>
      <w:r w:rsidR="00FE499D">
        <w:rPr>
          <w:rFonts w:cstheme="minorHAnsi"/>
          <w:bCs/>
        </w:rPr>
        <w:t>Q</w:t>
      </w:r>
      <w:r>
        <w:rPr>
          <w:rFonts w:cstheme="minorHAnsi"/>
          <w:bCs/>
        </w:rPr>
        <w:t>uintana, Kate Mc</w:t>
      </w:r>
      <w:r w:rsidR="00FE499D">
        <w:rPr>
          <w:rFonts w:cstheme="minorHAnsi"/>
          <w:bCs/>
        </w:rPr>
        <w:t>C</w:t>
      </w:r>
      <w:r>
        <w:rPr>
          <w:rFonts w:cstheme="minorHAnsi"/>
          <w:bCs/>
        </w:rPr>
        <w:t>leary</w:t>
      </w:r>
    </w:p>
    <w:p w14:paraId="03A3C048" w14:textId="77777777" w:rsidR="00B2073C" w:rsidRDefault="00B2073C" w:rsidP="00B2073C">
      <w:pPr>
        <w:rPr>
          <w:rFonts w:cstheme="minorHAnsi"/>
          <w:bCs/>
        </w:rPr>
      </w:pPr>
    </w:p>
    <w:p w14:paraId="09512A2C" w14:textId="27755CD5" w:rsidR="00B2073C" w:rsidRDefault="00B2073C" w:rsidP="00B2073C">
      <w:pPr>
        <w:rPr>
          <w:rFonts w:cstheme="minorHAnsi"/>
          <w:bCs/>
        </w:rPr>
      </w:pPr>
      <w:r>
        <w:rPr>
          <w:rFonts w:cstheme="minorHAnsi"/>
          <w:bCs/>
        </w:rPr>
        <w:t xml:space="preserve">Guest: </w:t>
      </w:r>
      <w:r w:rsidR="00FE499D">
        <w:rPr>
          <w:rFonts w:cstheme="minorHAnsi"/>
          <w:bCs/>
        </w:rPr>
        <w:t>G</w:t>
      </w:r>
      <w:r>
        <w:rPr>
          <w:rFonts w:cstheme="minorHAnsi"/>
          <w:bCs/>
        </w:rPr>
        <w:t xml:space="preserve">ary </w:t>
      </w:r>
      <w:proofErr w:type="spellStart"/>
      <w:r w:rsidR="00FE499D">
        <w:rPr>
          <w:rFonts w:cstheme="minorHAnsi"/>
          <w:bCs/>
        </w:rPr>
        <w:t>D</w:t>
      </w:r>
      <w:r>
        <w:rPr>
          <w:rFonts w:cstheme="minorHAnsi"/>
          <w:bCs/>
        </w:rPr>
        <w:t>iffee</w:t>
      </w:r>
      <w:proofErr w:type="spellEnd"/>
    </w:p>
    <w:p w14:paraId="2F39A7BC" w14:textId="51E493C3" w:rsidR="00B2073C" w:rsidRDefault="00B2073C" w:rsidP="00B2073C">
      <w:pPr>
        <w:rPr>
          <w:rFonts w:cstheme="minorHAnsi"/>
          <w:bCs/>
        </w:rPr>
      </w:pPr>
    </w:p>
    <w:p w14:paraId="49059015" w14:textId="5C771711" w:rsidR="00B2073C" w:rsidRDefault="00B2073C" w:rsidP="00B2073C">
      <w:pPr>
        <w:rPr>
          <w:rFonts w:cstheme="minorHAnsi"/>
          <w:bCs/>
        </w:rPr>
      </w:pPr>
      <w:r>
        <w:rPr>
          <w:rFonts w:cstheme="minorHAnsi"/>
          <w:bCs/>
        </w:rPr>
        <w:t xml:space="preserve">Ex-officio: Marianne Spoon, Elizabeth </w:t>
      </w:r>
      <w:proofErr w:type="spellStart"/>
      <w:r>
        <w:rPr>
          <w:rFonts w:cstheme="minorHAnsi"/>
          <w:bCs/>
        </w:rPr>
        <w:t>Jach</w:t>
      </w:r>
      <w:proofErr w:type="spellEnd"/>
      <w:r>
        <w:rPr>
          <w:rFonts w:cstheme="minorHAnsi"/>
          <w:bCs/>
        </w:rPr>
        <w:t xml:space="preserve"> </w:t>
      </w:r>
    </w:p>
    <w:p w14:paraId="5FBCD026" w14:textId="698A2E00" w:rsidR="00FE499D" w:rsidRDefault="00FE499D" w:rsidP="00B2073C">
      <w:pPr>
        <w:rPr>
          <w:rFonts w:cstheme="minorHAnsi"/>
          <w:bCs/>
        </w:rPr>
      </w:pPr>
    </w:p>
    <w:p w14:paraId="75139AED" w14:textId="64748387" w:rsidR="00FE499D" w:rsidRDefault="00FE499D" w:rsidP="00B2073C">
      <w:pPr>
        <w:rPr>
          <w:rFonts w:cstheme="minorHAnsi"/>
          <w:bCs/>
        </w:rPr>
      </w:pPr>
      <w:r>
        <w:rPr>
          <w:rFonts w:cstheme="minorHAnsi"/>
          <w:bCs/>
        </w:rPr>
        <w:t>Minutes taken by Maddie Sychta</w:t>
      </w:r>
    </w:p>
    <w:p w14:paraId="56C13D3E" w14:textId="77777777" w:rsidR="00B2073C" w:rsidRDefault="00B2073C" w:rsidP="00B2073C">
      <w:pPr>
        <w:rPr>
          <w:rFonts w:cstheme="minorHAnsi"/>
          <w:bCs/>
        </w:rPr>
      </w:pPr>
    </w:p>
    <w:p w14:paraId="2445959D" w14:textId="6FC2CE33" w:rsidR="00B2073C" w:rsidRPr="00B2073C" w:rsidRDefault="00B2073C" w:rsidP="00B2073C">
      <w:pPr>
        <w:rPr>
          <w:rFonts w:cstheme="minorHAnsi"/>
          <w:bCs/>
        </w:rPr>
      </w:pPr>
      <w:r>
        <w:rPr>
          <w:rFonts w:cstheme="minorHAnsi"/>
          <w:bCs/>
        </w:rPr>
        <w:t>Meeting called to order at 10:03 am</w:t>
      </w:r>
    </w:p>
    <w:p w14:paraId="5D5A58D2" w14:textId="77777777" w:rsidR="00B2073C" w:rsidRPr="00B2073C" w:rsidRDefault="00B2073C" w:rsidP="00B2073C">
      <w:pPr>
        <w:ind w:left="360"/>
        <w:rPr>
          <w:rFonts w:cstheme="minorHAnsi"/>
          <w:b/>
        </w:rPr>
      </w:pPr>
    </w:p>
    <w:p w14:paraId="44DCE472" w14:textId="1C8960FC" w:rsidR="00792511" w:rsidRDefault="00792511" w:rsidP="00792511">
      <w:pPr>
        <w:pStyle w:val="ListParagraph"/>
        <w:numPr>
          <w:ilvl w:val="0"/>
          <w:numId w:val="1"/>
        </w:numPr>
        <w:rPr>
          <w:rFonts w:cstheme="minorHAnsi"/>
          <w:b/>
        </w:rPr>
      </w:pPr>
      <w:r w:rsidRPr="00614031">
        <w:rPr>
          <w:rFonts w:cstheme="minorHAnsi"/>
          <w:b/>
        </w:rPr>
        <w:t>Consent Agenda</w:t>
      </w:r>
    </w:p>
    <w:p w14:paraId="3BC547C4" w14:textId="267564B9" w:rsidR="00B2073C" w:rsidRDefault="00B2073C" w:rsidP="00B2073C">
      <w:pPr>
        <w:rPr>
          <w:rFonts w:cstheme="minorHAnsi"/>
          <w:bCs/>
        </w:rPr>
      </w:pPr>
    </w:p>
    <w:p w14:paraId="00A5C3AF" w14:textId="6CFB2396" w:rsidR="00B2073C" w:rsidRDefault="00B2073C" w:rsidP="00B2073C">
      <w:pPr>
        <w:rPr>
          <w:rFonts w:cstheme="minorHAnsi"/>
          <w:bCs/>
        </w:rPr>
      </w:pPr>
      <w:r>
        <w:rPr>
          <w:rFonts w:cstheme="minorHAnsi"/>
          <w:bCs/>
        </w:rPr>
        <w:t xml:space="preserve">Albers </w:t>
      </w:r>
      <w:r w:rsidR="00CE3DDE">
        <w:rPr>
          <w:rFonts w:cstheme="minorHAnsi"/>
          <w:bCs/>
        </w:rPr>
        <w:t xml:space="preserve">made a </w:t>
      </w:r>
      <w:r>
        <w:rPr>
          <w:rFonts w:cstheme="minorHAnsi"/>
          <w:bCs/>
        </w:rPr>
        <w:t>motion</w:t>
      </w:r>
      <w:r w:rsidR="00CE3DDE">
        <w:rPr>
          <w:rFonts w:cstheme="minorHAnsi"/>
          <w:bCs/>
        </w:rPr>
        <w:t xml:space="preserve">. </w:t>
      </w:r>
      <w:r>
        <w:rPr>
          <w:rFonts w:cstheme="minorHAnsi"/>
          <w:bCs/>
        </w:rPr>
        <w:t>Bartlett second</w:t>
      </w:r>
    </w:p>
    <w:p w14:paraId="60952CA1" w14:textId="77777777" w:rsidR="00B2073C" w:rsidRPr="00B2073C" w:rsidRDefault="00B2073C" w:rsidP="00B2073C">
      <w:pPr>
        <w:rPr>
          <w:rFonts w:cstheme="minorHAnsi"/>
          <w:bCs/>
        </w:rPr>
      </w:pPr>
    </w:p>
    <w:p w14:paraId="6EF54E4C" w14:textId="5B0BBAEA" w:rsidR="00095013" w:rsidRPr="00095013" w:rsidRDefault="00FB57D1" w:rsidP="00095013">
      <w:pPr>
        <w:pStyle w:val="ListParagraph"/>
        <w:numPr>
          <w:ilvl w:val="1"/>
          <w:numId w:val="1"/>
        </w:numPr>
        <w:rPr>
          <w:rFonts w:cstheme="minorHAnsi"/>
          <w:bCs/>
        </w:rPr>
      </w:pPr>
      <w:r>
        <w:rPr>
          <w:rFonts w:cstheme="minorHAnsi"/>
          <w:bCs/>
        </w:rPr>
        <w:t>September</w:t>
      </w:r>
      <w:r w:rsidR="00F0100F">
        <w:rPr>
          <w:rFonts w:cstheme="minorHAnsi"/>
          <w:bCs/>
        </w:rPr>
        <w:t xml:space="preserve"> 2021</w:t>
      </w:r>
      <w:r w:rsidR="00095013" w:rsidRPr="00095013">
        <w:rPr>
          <w:rFonts w:cstheme="minorHAnsi"/>
          <w:bCs/>
        </w:rPr>
        <w:t xml:space="preserve"> Minutes</w:t>
      </w:r>
    </w:p>
    <w:p w14:paraId="6934C114" w14:textId="2ADE6C54" w:rsidR="00792511" w:rsidRDefault="00792511" w:rsidP="00792511">
      <w:pPr>
        <w:rPr>
          <w:rFonts w:cstheme="minorHAnsi"/>
        </w:rPr>
      </w:pPr>
    </w:p>
    <w:p w14:paraId="31EE9EF2" w14:textId="3174C57A" w:rsidR="00B2073C" w:rsidRDefault="00B2073C" w:rsidP="00792511">
      <w:pPr>
        <w:rPr>
          <w:rFonts w:cstheme="minorHAnsi"/>
        </w:rPr>
      </w:pPr>
      <w:r>
        <w:rPr>
          <w:rFonts w:cstheme="minorHAnsi"/>
        </w:rPr>
        <w:t>McCleary</w:t>
      </w:r>
      <w:r w:rsidR="00FE499D">
        <w:rPr>
          <w:rFonts w:cstheme="minorHAnsi"/>
        </w:rPr>
        <w:t xml:space="preserve"> made an amendment to the September 2021 minutes. </w:t>
      </w:r>
    </w:p>
    <w:p w14:paraId="1FCB94E8" w14:textId="3D474463" w:rsidR="00B2073C" w:rsidRDefault="00B2073C" w:rsidP="00792511">
      <w:pPr>
        <w:rPr>
          <w:rFonts w:cstheme="minorHAnsi"/>
        </w:rPr>
      </w:pPr>
    </w:p>
    <w:p w14:paraId="72175B1C" w14:textId="0D808DD1" w:rsidR="00B2073C" w:rsidRDefault="00B2073C" w:rsidP="00792511">
      <w:pPr>
        <w:rPr>
          <w:rFonts w:cstheme="minorHAnsi"/>
        </w:rPr>
      </w:pPr>
      <w:r>
        <w:rPr>
          <w:rFonts w:cstheme="minorHAnsi"/>
        </w:rPr>
        <w:t>Approved</w:t>
      </w:r>
      <w:r w:rsidR="00FE499D">
        <w:rPr>
          <w:rFonts w:cstheme="minorHAnsi"/>
        </w:rPr>
        <w:t xml:space="preserve"> with amendment. </w:t>
      </w:r>
    </w:p>
    <w:p w14:paraId="386C3949" w14:textId="77777777" w:rsidR="00B2073C" w:rsidRDefault="00B2073C" w:rsidP="00792511">
      <w:pPr>
        <w:rPr>
          <w:rFonts w:cstheme="minorHAnsi"/>
        </w:rPr>
      </w:pPr>
    </w:p>
    <w:p w14:paraId="1F5E7811" w14:textId="042974D9"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1B0B602B" w14:textId="6A114385" w:rsidR="00792511" w:rsidRDefault="00792511" w:rsidP="00792511"/>
    <w:p w14:paraId="33584273" w14:textId="7D4517AD" w:rsidR="00DE52C7" w:rsidRDefault="00DE52C7" w:rsidP="00792511">
      <w:r>
        <w:t xml:space="preserve">Quintana </w:t>
      </w:r>
      <w:r w:rsidR="00CE3DDE">
        <w:t xml:space="preserve">made a </w:t>
      </w:r>
      <w:r>
        <w:t>motion. Miller second.</w:t>
      </w:r>
    </w:p>
    <w:p w14:paraId="157EE0EF" w14:textId="77777777" w:rsidR="00DE52C7" w:rsidRDefault="00DE52C7" w:rsidP="00792511"/>
    <w:p w14:paraId="1A342AAD" w14:textId="67C8B003" w:rsidR="00804BB3" w:rsidRDefault="00804BB3" w:rsidP="00F75685">
      <w:pPr>
        <w:pStyle w:val="ListParagraph"/>
        <w:numPr>
          <w:ilvl w:val="1"/>
          <w:numId w:val="1"/>
        </w:numPr>
      </w:pPr>
      <w:r>
        <w:t>L&amp;S NOI: MS Data Science</w:t>
      </w:r>
      <w:r w:rsidR="00B2073C">
        <w:t xml:space="preserve"> </w:t>
      </w:r>
    </w:p>
    <w:p w14:paraId="5FB81DA8" w14:textId="77777777" w:rsidR="00175C42" w:rsidRDefault="00175C42" w:rsidP="00B42ED2"/>
    <w:p w14:paraId="5680BCAC" w14:textId="20DAE31A" w:rsidR="00175C42" w:rsidRDefault="00175C42" w:rsidP="00B42ED2">
      <w:r>
        <w:t xml:space="preserve">Nelson presenting notice of intent to establish an MS in Data Science in the College of Letters &amp; Science. This 131-program is a </w:t>
      </w:r>
      <w:r w:rsidR="00DA3F93">
        <w:t>30-credit</w:t>
      </w:r>
      <w:r>
        <w:t xml:space="preserve"> master’s degree focusing on technical skills. </w:t>
      </w:r>
    </w:p>
    <w:p w14:paraId="7B53BB97" w14:textId="56507B00" w:rsidR="00CE3DDE" w:rsidRDefault="00CE3DDE" w:rsidP="00B42ED2"/>
    <w:p w14:paraId="688BA59C" w14:textId="4C55564B" w:rsidR="00CE3DDE" w:rsidRDefault="00CE3DDE" w:rsidP="00B42ED2">
      <w:r>
        <w:lastRenderedPageBreak/>
        <w:t xml:space="preserve">Albers stated that he has concerns that the program has significant overlap with the Educational Psychology: Learning Analytics, MS program. He requested an opportunity to share the NOI with Learning Analytics faculty and staff. </w:t>
      </w:r>
    </w:p>
    <w:p w14:paraId="27EABF0D" w14:textId="73B016E8" w:rsidR="00CE3DDE" w:rsidRDefault="00CE3DDE" w:rsidP="00B42ED2"/>
    <w:p w14:paraId="456BC388" w14:textId="48F7C3D3" w:rsidR="00CE3DDE" w:rsidRDefault="00CE3DDE" w:rsidP="00B42ED2">
      <w:r>
        <w:t xml:space="preserve">Bartlett and Schrage supported opportunity to solicit feedback from Learning Analytics program. Albers requested that Educational Psychology be listed as a department with “vested interest” in Lumen. </w:t>
      </w:r>
    </w:p>
    <w:p w14:paraId="6EE350C2" w14:textId="77777777" w:rsidR="00175C42" w:rsidRDefault="00175C42" w:rsidP="00B42ED2"/>
    <w:p w14:paraId="2653E9FD" w14:textId="47E63FCA" w:rsidR="00DE52C7" w:rsidRDefault="00CE3DDE" w:rsidP="00B42ED2">
      <w:r>
        <w:t xml:space="preserve">APC members voted to support the proposal, pending approval from colleagues in Learning Analytics program. </w:t>
      </w:r>
    </w:p>
    <w:p w14:paraId="41286FD1" w14:textId="475681C3" w:rsidR="00081A57" w:rsidRDefault="00081A57" w:rsidP="00081A57"/>
    <w:p w14:paraId="63DE9DD9" w14:textId="0E41B98B" w:rsidR="008F5FCE" w:rsidRDefault="00081A57" w:rsidP="00B42ED2">
      <w:r>
        <w:t>Approved.</w:t>
      </w:r>
    </w:p>
    <w:p w14:paraId="20364168" w14:textId="77777777" w:rsidR="008F5FCE" w:rsidRDefault="008F5FCE" w:rsidP="00B42ED2"/>
    <w:p w14:paraId="7E8446C0" w14:textId="77777777" w:rsidR="008F5FCE" w:rsidRDefault="008F5FCE" w:rsidP="00B42ED2"/>
    <w:p w14:paraId="28AE608D" w14:textId="230C2F4B" w:rsidR="008F5FCE" w:rsidRDefault="00680D82" w:rsidP="00B42ED2">
      <w:r>
        <w:t xml:space="preserve">Quintana </w:t>
      </w:r>
      <w:r w:rsidR="00CE3DDE">
        <w:t>made a motion.</w:t>
      </w:r>
      <w:r>
        <w:t xml:space="preserve"> Hairston second.</w:t>
      </w:r>
    </w:p>
    <w:p w14:paraId="4BD80FFF" w14:textId="77777777" w:rsidR="008F5FCE" w:rsidRDefault="008F5FCE" w:rsidP="00B42ED2"/>
    <w:p w14:paraId="6FC4EE31" w14:textId="45F371AF" w:rsidR="00741E9C" w:rsidRPr="00381334" w:rsidRDefault="00741E9C" w:rsidP="00F75685">
      <w:pPr>
        <w:pStyle w:val="ListParagraph"/>
        <w:numPr>
          <w:ilvl w:val="1"/>
          <w:numId w:val="1"/>
        </w:numPr>
        <w:rPr>
          <w:rStyle w:val="Hyperlink"/>
          <w:color w:val="auto"/>
          <w:u w:val="none"/>
        </w:rPr>
      </w:pPr>
      <w:r>
        <w:t xml:space="preserve">L&amp;S New Program Proposal: </w:t>
      </w:r>
      <w:hyperlink r:id="rId8" w:history="1">
        <w:r w:rsidRPr="00741E9C">
          <w:rPr>
            <w:rStyle w:val="Hyperlink"/>
          </w:rPr>
          <w:t>BA/BS in Information Science</w:t>
        </w:r>
      </w:hyperlink>
      <w:r w:rsidR="00B2073C">
        <w:rPr>
          <w:rStyle w:val="Hyperlink"/>
        </w:rPr>
        <w:t xml:space="preserve"> (10 mins)</w:t>
      </w:r>
    </w:p>
    <w:p w14:paraId="771B1F95" w14:textId="0081C1B2" w:rsidR="00381334" w:rsidRDefault="00381334" w:rsidP="00381334">
      <w:pPr>
        <w:rPr>
          <w:rStyle w:val="Hyperlink"/>
          <w:color w:val="auto"/>
          <w:u w:val="none"/>
        </w:rPr>
      </w:pPr>
    </w:p>
    <w:p w14:paraId="0CF07A85" w14:textId="538BDEF6" w:rsidR="00CE3DDE" w:rsidRPr="00381334" w:rsidRDefault="00CE3DDE" w:rsidP="00381334">
      <w:pPr>
        <w:rPr>
          <w:rStyle w:val="Hyperlink"/>
          <w:color w:val="auto"/>
          <w:u w:val="none"/>
        </w:rPr>
      </w:pPr>
      <w:r>
        <w:rPr>
          <w:rStyle w:val="Hyperlink"/>
          <w:color w:val="auto"/>
          <w:u w:val="none"/>
        </w:rPr>
        <w:t xml:space="preserve">Nelson presenting. This undergraduate program housed in the </w:t>
      </w:r>
      <w:proofErr w:type="spellStart"/>
      <w:r>
        <w:rPr>
          <w:rStyle w:val="Hyperlink"/>
          <w:color w:val="auto"/>
          <w:u w:val="none"/>
        </w:rPr>
        <w:t>iSchool</w:t>
      </w:r>
      <w:proofErr w:type="spellEnd"/>
      <w:r>
        <w:rPr>
          <w:rStyle w:val="Hyperlink"/>
          <w:color w:val="auto"/>
          <w:u w:val="none"/>
        </w:rPr>
        <w:t xml:space="preserve"> in the College of Letters &amp; Science is designed to build on the success of existing majors in data science and attract students interested in thinking about information ecosystems and constructs and how to use information ethically. </w:t>
      </w:r>
    </w:p>
    <w:p w14:paraId="007888D6" w14:textId="5EAA5011" w:rsidR="00D609AC" w:rsidRDefault="00D609AC" w:rsidP="00381334">
      <w:pPr>
        <w:ind w:left="360"/>
      </w:pPr>
    </w:p>
    <w:p w14:paraId="46CE7EB5" w14:textId="41F72F54" w:rsidR="00CE3DDE" w:rsidRDefault="00CE3DDE" w:rsidP="00CE3DDE">
      <w:r>
        <w:t xml:space="preserve">Stoddard stated that he appreciated the incorporation of ethics and citizenship aspects of data usage. He and Bartlett recommended including more SoE courses as electives, as </w:t>
      </w:r>
      <w:proofErr w:type="gramStart"/>
      <w:r>
        <w:t>these course</w:t>
      </w:r>
      <w:proofErr w:type="gramEnd"/>
      <w:r>
        <w:t xml:space="preserve"> explore data and ethics related to education and education policy. They requested more explicit information about how the students will consider ethical issues. </w:t>
      </w:r>
    </w:p>
    <w:p w14:paraId="0E832BE1" w14:textId="0C3A97E2" w:rsidR="00D609AC" w:rsidRDefault="00D609AC" w:rsidP="00D609AC"/>
    <w:p w14:paraId="5DFD5690" w14:textId="79A03DB0" w:rsidR="00680D82" w:rsidRDefault="00CE3DDE" w:rsidP="00D609AC">
      <w:r>
        <w:t xml:space="preserve">McCleary recommended consulting Samantha Becker, Director of Teaching and Learning Innovation in </w:t>
      </w:r>
      <w:proofErr w:type="spellStart"/>
      <w:r>
        <w:t>SoE’s</w:t>
      </w:r>
      <w:proofErr w:type="spellEnd"/>
      <w:r>
        <w:t xml:space="preserve"> Office of Equity, Diversity, and Inclusion. Becker has a background in information sciences.  </w:t>
      </w:r>
    </w:p>
    <w:p w14:paraId="04D8832B" w14:textId="34BC4E2E" w:rsidR="00680D82" w:rsidRDefault="00680D82" w:rsidP="00D609AC"/>
    <w:p w14:paraId="371003B1" w14:textId="2E9ABF54" w:rsidR="004612CF" w:rsidRDefault="004612CF" w:rsidP="00D609AC">
      <w:r>
        <w:t xml:space="preserve">Approved. </w:t>
      </w:r>
    </w:p>
    <w:p w14:paraId="2AA38EFE" w14:textId="0A77D0A5" w:rsidR="00680D82" w:rsidRDefault="00680D82" w:rsidP="00D609AC"/>
    <w:p w14:paraId="318BFC2F" w14:textId="625655AD" w:rsidR="00081A57" w:rsidRDefault="00081A57" w:rsidP="00D609AC"/>
    <w:p w14:paraId="1E5D029E" w14:textId="1A864174" w:rsidR="00F75685" w:rsidRPr="008D4A3C" w:rsidRDefault="005203EB" w:rsidP="00F75685">
      <w:pPr>
        <w:pStyle w:val="ListParagraph"/>
        <w:numPr>
          <w:ilvl w:val="1"/>
          <w:numId w:val="1"/>
        </w:numPr>
        <w:rPr>
          <w:rStyle w:val="Hyperlink"/>
          <w:color w:val="auto"/>
          <w:u w:val="none"/>
        </w:rPr>
      </w:pPr>
      <w:hyperlink r:id="rId9" w:history="1">
        <w:r w:rsidR="00F75685">
          <w:rPr>
            <w:rStyle w:val="Hyperlink"/>
          </w:rPr>
          <w:t>Dean’s Office response to SoE APC self-study report</w:t>
        </w:r>
      </w:hyperlink>
    </w:p>
    <w:p w14:paraId="75F75798" w14:textId="136B90DC" w:rsidR="008D4A3C" w:rsidRDefault="008D4A3C" w:rsidP="008D4A3C">
      <w:pPr>
        <w:rPr>
          <w:rStyle w:val="Hyperlink"/>
          <w:color w:val="auto"/>
          <w:u w:val="none"/>
        </w:rPr>
      </w:pPr>
    </w:p>
    <w:p w14:paraId="20A10E95" w14:textId="156B7324" w:rsidR="00CE3DDE" w:rsidRPr="008D4A3C" w:rsidRDefault="00CE3DDE" w:rsidP="008D4A3C">
      <w:pPr>
        <w:rPr>
          <w:rStyle w:val="Hyperlink"/>
          <w:color w:val="auto"/>
          <w:u w:val="none"/>
        </w:rPr>
      </w:pPr>
      <w:proofErr w:type="spellStart"/>
      <w:r>
        <w:rPr>
          <w:rStyle w:val="Hyperlink"/>
          <w:color w:val="auto"/>
          <w:u w:val="none"/>
        </w:rPr>
        <w:t>Diffee</w:t>
      </w:r>
      <w:proofErr w:type="spellEnd"/>
      <w:r>
        <w:rPr>
          <w:rStyle w:val="Hyperlink"/>
          <w:color w:val="auto"/>
          <w:u w:val="none"/>
        </w:rPr>
        <w:t xml:space="preserve"> and Harris present to participate in discussion of Dean’s Office response to the APC Self-Study report. </w:t>
      </w:r>
    </w:p>
    <w:p w14:paraId="56EDACD2" w14:textId="317936F8" w:rsidR="009C03DE" w:rsidRDefault="009C03DE" w:rsidP="00344046"/>
    <w:p w14:paraId="5E48007E" w14:textId="3653E1F5" w:rsidR="00AC5E2D" w:rsidRDefault="00CE3DDE" w:rsidP="00F9791A">
      <w:r>
        <w:t>Nelson presenting. The self-study report requested clarification between the roles of APC and other SoE committees, including Programs Committee.</w:t>
      </w:r>
      <w:r w:rsidR="00AC5E2D">
        <w:t xml:space="preserve"> Nelson presented a comparison of the APC and Programs Committee charges to the group and shared other reference documents created in response to the self-study.</w:t>
      </w:r>
    </w:p>
    <w:p w14:paraId="5B28D9DE" w14:textId="32A20C2E" w:rsidR="00AC5E2D" w:rsidRDefault="00AC5E2D" w:rsidP="00F9791A"/>
    <w:p w14:paraId="045D88C3" w14:textId="77777777" w:rsidR="00AC5E2D" w:rsidRDefault="00AC5E2D" w:rsidP="00AC5E2D">
      <w:r>
        <w:t xml:space="preserve">Harris stated that she felt the additional informational materials clarified the role and scope of the APC as compared to Programs Committee. </w:t>
      </w:r>
    </w:p>
    <w:p w14:paraId="6F4D525C" w14:textId="77777777" w:rsidR="00AC5E2D" w:rsidRDefault="00AC5E2D" w:rsidP="00F9791A"/>
    <w:p w14:paraId="61C99FA5" w14:textId="56FC976F" w:rsidR="00AC5E2D" w:rsidRDefault="00AC5E2D" w:rsidP="00F9791A">
      <w:r>
        <w:t xml:space="preserve">Nelson also highlighted that the Dean’s Office response outlined a different timeline for considering program reviews </w:t>
      </w:r>
      <w:proofErr w:type="gramStart"/>
      <w:r>
        <w:t>in order to</w:t>
      </w:r>
      <w:proofErr w:type="gramEnd"/>
      <w:r>
        <w:t xml:space="preserve"> incorporate APC feedback in the department’s final response to the review committee report. This change aims to encourage APC member participation and engagement in the program review process. </w:t>
      </w:r>
    </w:p>
    <w:p w14:paraId="7873135C" w14:textId="0E57FF58" w:rsidR="00AC5E2D" w:rsidRDefault="00AC5E2D" w:rsidP="00F9791A"/>
    <w:p w14:paraId="60EB8B77" w14:textId="174C988C" w:rsidR="00AC5E2D" w:rsidRDefault="00AC5E2D" w:rsidP="00F9791A">
      <w:r>
        <w:t xml:space="preserve">Sychta clarified the differences between the program review process and general review of program proposals. </w:t>
      </w:r>
    </w:p>
    <w:p w14:paraId="367EFD0F" w14:textId="77777777" w:rsidR="00AC5E2D" w:rsidRDefault="00AC5E2D" w:rsidP="00F9791A"/>
    <w:p w14:paraId="5B6B104B" w14:textId="53F025A1" w:rsidR="00D407BA" w:rsidRDefault="00AC5E2D" w:rsidP="00081A57">
      <w:r>
        <w:t xml:space="preserve">Nelson stressed that APC members and SoE faculty/staff can submit agenda items. APC can invite guests to speak to agenda items. Nelson would also like to engage the APC in more decision-making around strategic and long-term planning. </w:t>
      </w:r>
    </w:p>
    <w:p w14:paraId="71DD7CD3" w14:textId="590AA0D0" w:rsidR="00D407BA" w:rsidRDefault="00D407BA" w:rsidP="00081A57"/>
    <w:p w14:paraId="18918471" w14:textId="3EC54DA7" w:rsidR="00AE4BE2" w:rsidRDefault="00AC5E2D" w:rsidP="00081A57">
      <w:r>
        <w:t xml:space="preserve">McCleary requested clarification of the relationship between the </w:t>
      </w:r>
      <w:proofErr w:type="spellStart"/>
      <w:r>
        <w:t>SoE’s</w:t>
      </w:r>
      <w:proofErr w:type="spellEnd"/>
      <w:r>
        <w:t xml:space="preserve"> strategic plan and Impact 2030 and recommended sharing plans with APC members for discussion and comment. McCleary suggested inviting the Dean to committee meetings at the beginning of the year. </w:t>
      </w:r>
    </w:p>
    <w:p w14:paraId="12E74368" w14:textId="77777777" w:rsidR="00AE4BE2" w:rsidRDefault="00AE4BE2" w:rsidP="00081A57"/>
    <w:p w14:paraId="6B6005DF" w14:textId="67786602" w:rsidR="00AE4BE2" w:rsidRDefault="00AC5E2D" w:rsidP="00081A57">
      <w:r>
        <w:t xml:space="preserve">Buisch stated that the report offered helpful clarification of the APC election process. </w:t>
      </w:r>
      <w:proofErr w:type="spellStart"/>
      <w:r>
        <w:t>Diffee</w:t>
      </w:r>
      <w:proofErr w:type="spellEnd"/>
      <w:r>
        <w:t xml:space="preserve"> stated that the review committee felt it was important to main</w:t>
      </w:r>
      <w:r w:rsidR="00DE63D0">
        <w:t>tain the flexibility of elections in departments so they can build intentionality into the process. FP&amp;P requires</w:t>
      </w:r>
      <w:r w:rsidR="00DA3F93">
        <w:t xml:space="preserve"> a member from each department within a School/College, in addition to at least one academic staff member. </w:t>
      </w:r>
    </w:p>
    <w:p w14:paraId="10EE5BFB" w14:textId="234B6C53" w:rsidR="00DA3F93" w:rsidRDefault="00DA3F93" w:rsidP="00081A57"/>
    <w:p w14:paraId="1F877236" w14:textId="021A374C" w:rsidR="00DA3F93" w:rsidRDefault="00DA3F93" w:rsidP="00081A57">
      <w:r>
        <w:t xml:space="preserve">APC members discussed how the Title and Total Compensation initiative on campus might affect the tenure and promotion of faculty, as stated in the APC charge. The committee requested clarification around the relationship between the charge and this new HR initiative, particularly as it relates to the teaching faculty title. </w:t>
      </w:r>
    </w:p>
    <w:p w14:paraId="1E75F967" w14:textId="2EED94C0" w:rsidR="00DA3F93" w:rsidRDefault="00DA3F93" w:rsidP="00081A57"/>
    <w:p w14:paraId="6B70434B" w14:textId="708498A9" w:rsidR="00DA3F93" w:rsidRDefault="00DA3F93" w:rsidP="00081A57">
      <w:r>
        <w:t xml:space="preserve">Nelson stated that the APC will discuss member elections at the next meeting. The APC will discuss how to elect academic staff members and consider if the SoE Committee on Academic Staff Issues is an appropriate facilitator of that election. </w:t>
      </w:r>
    </w:p>
    <w:p w14:paraId="1C877082" w14:textId="12F3DF74" w:rsidR="004741A3" w:rsidRDefault="004741A3" w:rsidP="00081A57"/>
    <w:p w14:paraId="30D02FC5" w14:textId="51D9E787" w:rsidR="004741A3" w:rsidRDefault="004741A3" w:rsidP="00081A57">
      <w:r>
        <w:t>Meeting adjourned at 11:02 a.m.</w:t>
      </w:r>
    </w:p>
    <w:p w14:paraId="0B0D4E19" w14:textId="29E1889A" w:rsidR="005A6F81" w:rsidRDefault="005A6F81" w:rsidP="00081A57"/>
    <w:sectPr w:rsidR="005A6F81" w:rsidSect="000224B4">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15F3" w14:textId="77777777" w:rsidR="005203EB" w:rsidRDefault="005203EB">
      <w:r>
        <w:separator/>
      </w:r>
    </w:p>
  </w:endnote>
  <w:endnote w:type="continuationSeparator" w:id="0">
    <w:p w14:paraId="7CA08183" w14:textId="77777777" w:rsidR="005203EB" w:rsidRDefault="005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455CA" w14:textId="77777777" w:rsidR="005C6811" w:rsidRDefault="005203EB"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909F6" w14:textId="77777777" w:rsidR="005C6811" w:rsidRDefault="005203EB"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5203EB"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5203E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0B7B" w14:textId="77777777" w:rsidR="005203EB" w:rsidRDefault="005203EB">
      <w:r>
        <w:separator/>
      </w:r>
    </w:p>
  </w:footnote>
  <w:footnote w:type="continuationSeparator" w:id="0">
    <w:p w14:paraId="41FE777D" w14:textId="77777777" w:rsidR="005203EB" w:rsidRDefault="0052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559"/>
    <w:multiLevelType w:val="hybridMultilevel"/>
    <w:tmpl w:val="B5FADA62"/>
    <w:lvl w:ilvl="0" w:tplc="48EAA7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CD5"/>
    <w:multiLevelType w:val="hybridMultilevel"/>
    <w:tmpl w:val="FDB0E876"/>
    <w:lvl w:ilvl="0" w:tplc="48EAA7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D7AA4"/>
    <w:multiLevelType w:val="hybridMultilevel"/>
    <w:tmpl w:val="CF9630FC"/>
    <w:lvl w:ilvl="0" w:tplc="DCE624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24646"/>
    <w:multiLevelType w:val="hybridMultilevel"/>
    <w:tmpl w:val="4796B150"/>
    <w:lvl w:ilvl="0" w:tplc="48EAA7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95778"/>
    <w:multiLevelType w:val="hybridMultilevel"/>
    <w:tmpl w:val="E16EBF86"/>
    <w:lvl w:ilvl="0" w:tplc="48EAA7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6424A"/>
    <w:rsid w:val="00074819"/>
    <w:rsid w:val="00081A57"/>
    <w:rsid w:val="00095013"/>
    <w:rsid w:val="000B312A"/>
    <w:rsid w:val="001062B7"/>
    <w:rsid w:val="00107583"/>
    <w:rsid w:val="00111BE2"/>
    <w:rsid w:val="00112960"/>
    <w:rsid w:val="00146655"/>
    <w:rsid w:val="00175C42"/>
    <w:rsid w:val="002210A8"/>
    <w:rsid w:val="00272D98"/>
    <w:rsid w:val="002F4876"/>
    <w:rsid w:val="00312D9F"/>
    <w:rsid w:val="00344046"/>
    <w:rsid w:val="00381334"/>
    <w:rsid w:val="00385DE2"/>
    <w:rsid w:val="00390DFE"/>
    <w:rsid w:val="004612CF"/>
    <w:rsid w:val="004741A3"/>
    <w:rsid w:val="005203EB"/>
    <w:rsid w:val="00560CEB"/>
    <w:rsid w:val="00564341"/>
    <w:rsid w:val="005A6F81"/>
    <w:rsid w:val="005B41E4"/>
    <w:rsid w:val="0061343E"/>
    <w:rsid w:val="00680D82"/>
    <w:rsid w:val="00686046"/>
    <w:rsid w:val="0069118C"/>
    <w:rsid w:val="00741E9C"/>
    <w:rsid w:val="007620BE"/>
    <w:rsid w:val="007813B0"/>
    <w:rsid w:val="00792511"/>
    <w:rsid w:val="007F05A0"/>
    <w:rsid w:val="00804BB3"/>
    <w:rsid w:val="00805674"/>
    <w:rsid w:val="0083646B"/>
    <w:rsid w:val="008B1C44"/>
    <w:rsid w:val="008D4A3C"/>
    <w:rsid w:val="008E3E9B"/>
    <w:rsid w:val="008F295D"/>
    <w:rsid w:val="008F5FCE"/>
    <w:rsid w:val="00930922"/>
    <w:rsid w:val="00956297"/>
    <w:rsid w:val="009910E1"/>
    <w:rsid w:val="009A2638"/>
    <w:rsid w:val="009B7030"/>
    <w:rsid w:val="009C03DE"/>
    <w:rsid w:val="009D52E2"/>
    <w:rsid w:val="009F4BA6"/>
    <w:rsid w:val="00A43771"/>
    <w:rsid w:val="00A96D13"/>
    <w:rsid w:val="00AA5EC5"/>
    <w:rsid w:val="00AC5E2D"/>
    <w:rsid w:val="00AE4BE2"/>
    <w:rsid w:val="00AF0652"/>
    <w:rsid w:val="00B1513B"/>
    <w:rsid w:val="00B16301"/>
    <w:rsid w:val="00B2073C"/>
    <w:rsid w:val="00B223BC"/>
    <w:rsid w:val="00B4115B"/>
    <w:rsid w:val="00B42ED2"/>
    <w:rsid w:val="00B5786D"/>
    <w:rsid w:val="00B846DC"/>
    <w:rsid w:val="00BD5266"/>
    <w:rsid w:val="00C61668"/>
    <w:rsid w:val="00CA5AEB"/>
    <w:rsid w:val="00CB59F8"/>
    <w:rsid w:val="00CD1099"/>
    <w:rsid w:val="00CD4AC7"/>
    <w:rsid w:val="00CE3DDE"/>
    <w:rsid w:val="00D053D3"/>
    <w:rsid w:val="00D06573"/>
    <w:rsid w:val="00D1010D"/>
    <w:rsid w:val="00D10A76"/>
    <w:rsid w:val="00D17C7E"/>
    <w:rsid w:val="00D2137A"/>
    <w:rsid w:val="00D407BA"/>
    <w:rsid w:val="00D609AC"/>
    <w:rsid w:val="00D84A49"/>
    <w:rsid w:val="00DA3F93"/>
    <w:rsid w:val="00DB6615"/>
    <w:rsid w:val="00DD27AB"/>
    <w:rsid w:val="00DE52C7"/>
    <w:rsid w:val="00DE63D0"/>
    <w:rsid w:val="00E1620C"/>
    <w:rsid w:val="00E20C9E"/>
    <w:rsid w:val="00EA4697"/>
    <w:rsid w:val="00EC264B"/>
    <w:rsid w:val="00EE5FA1"/>
    <w:rsid w:val="00EE6E42"/>
    <w:rsid w:val="00F009A9"/>
    <w:rsid w:val="00F0100F"/>
    <w:rsid w:val="00F33A57"/>
    <w:rsid w:val="00F75685"/>
    <w:rsid w:val="00F9791A"/>
    <w:rsid w:val="00FB57D1"/>
    <w:rsid w:val="00FE4098"/>
    <w:rsid w:val="00FE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styleId="UnresolvedMention">
    <w:name w:val="Unresolved Mention"/>
    <w:basedOn w:val="DefaultParagraphFont"/>
    <w:uiPriority w:val="99"/>
    <w:rsid w:val="00741E9C"/>
    <w:rPr>
      <w:color w:val="605E5C"/>
      <w:shd w:val="clear" w:color="auto" w:fill="E1DFDD"/>
    </w:rPr>
  </w:style>
  <w:style w:type="character" w:styleId="FollowedHyperlink">
    <w:name w:val="FollowedHyperlink"/>
    <w:basedOn w:val="DefaultParagraphFont"/>
    <w:uiPriority w:val="99"/>
    <w:semiHidden/>
    <w:unhideWhenUsed/>
    <w:rsid w:val="00B42E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01826">
      <w:bodyDiv w:val="1"/>
      <w:marLeft w:val="0"/>
      <w:marRight w:val="0"/>
      <w:marTop w:val="0"/>
      <w:marBottom w:val="0"/>
      <w:divBdr>
        <w:top w:val="none" w:sz="0" w:space="0" w:color="auto"/>
        <w:left w:val="none" w:sz="0" w:space="0" w:color="auto"/>
        <w:bottom w:val="none" w:sz="0" w:space="0" w:color="auto"/>
        <w:right w:val="none" w:sz="0" w:space="0" w:color="auto"/>
      </w:divBdr>
    </w:div>
    <w:div w:id="1677229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wisc.edu/wp-content/uploads/sites/4/2021/08/DO_Response_APC-self-stud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64</cp:revision>
  <cp:lastPrinted>2021-10-18T13:16:00Z</cp:lastPrinted>
  <dcterms:created xsi:type="dcterms:W3CDTF">2018-02-09T21:34:00Z</dcterms:created>
  <dcterms:modified xsi:type="dcterms:W3CDTF">2021-11-09T21:48:00Z</dcterms:modified>
</cp:coreProperties>
</file>