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68E56" w14:textId="77777777" w:rsidR="00EC0A10" w:rsidRDefault="00000000">
      <w:pPr>
        <w:widowControl w:val="0"/>
        <w:pBdr>
          <w:top w:val="nil"/>
          <w:left w:val="nil"/>
          <w:bottom w:val="nil"/>
          <w:right w:val="nil"/>
          <w:between w:val="nil"/>
        </w:pBdr>
        <w:spacing w:line="276" w:lineRule="auto"/>
      </w:pPr>
      <w:r>
        <w:pict w14:anchorId="1CD5B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5A8F393B" w14:textId="77777777" w:rsidR="00EC0A10" w:rsidRDefault="00EC0A10">
      <w:pPr>
        <w:widowControl w:val="0"/>
        <w:pBdr>
          <w:top w:val="nil"/>
          <w:left w:val="nil"/>
          <w:bottom w:val="nil"/>
          <w:right w:val="nil"/>
          <w:between w:val="nil"/>
        </w:pBdr>
        <w:spacing w:line="276" w:lineRule="auto"/>
      </w:pPr>
    </w:p>
    <w:p w14:paraId="43936AEB" w14:textId="77777777" w:rsidR="00EC0A10" w:rsidRDefault="00000000">
      <w:pPr>
        <w:jc w:val="right"/>
      </w:pPr>
      <w:r>
        <w:t xml:space="preserve">Responsible Office: </w:t>
      </w:r>
      <w:r>
        <w:rPr>
          <w:color w:val="808080"/>
        </w:rPr>
        <w:t>School of Education Dean’s Office</w:t>
      </w:r>
    </w:p>
    <w:p w14:paraId="09799516" w14:textId="77777777" w:rsidR="00EC0A10" w:rsidRDefault="00EC0A10">
      <w:pPr>
        <w:rPr>
          <w:b/>
          <w:sz w:val="28"/>
          <w:szCs w:val="28"/>
        </w:rPr>
      </w:pPr>
    </w:p>
    <w:p w14:paraId="18592D0F" w14:textId="77777777" w:rsidR="00EC0A10" w:rsidRDefault="00000000">
      <w:pPr>
        <w:rPr>
          <w:b/>
          <w:sz w:val="28"/>
          <w:szCs w:val="28"/>
        </w:rPr>
      </w:pPr>
      <w:r>
        <w:rPr>
          <w:color w:val="808080"/>
        </w:rPr>
        <w:t>School of Education Interdepartmental Cost- and Revenue- Sharing for Fund 131 Course Instruction Policy</w:t>
      </w:r>
    </w:p>
    <w:p w14:paraId="3022578A" w14:textId="77777777" w:rsidR="00EC0A10" w:rsidRDefault="00EC0A10">
      <w:pPr>
        <w:rPr>
          <w:b/>
          <w:sz w:val="28"/>
          <w:szCs w:val="28"/>
        </w:rPr>
      </w:pPr>
    </w:p>
    <w:p w14:paraId="308520BA" w14:textId="77777777" w:rsidR="00EC0A10" w:rsidRDefault="00EC0A10">
      <w:pPr>
        <w:rPr>
          <w:b/>
          <w:sz w:val="28"/>
          <w:szCs w:val="28"/>
        </w:rPr>
      </w:pPr>
    </w:p>
    <w:p w14:paraId="7E454001" w14:textId="77777777" w:rsidR="00EC0A10" w:rsidRDefault="00000000">
      <w:pPr>
        <w:spacing w:after="120"/>
        <w:rPr>
          <w:b/>
          <w:sz w:val="28"/>
          <w:szCs w:val="28"/>
        </w:rPr>
      </w:pPr>
      <w:r>
        <w:rPr>
          <w:b/>
          <w:sz w:val="28"/>
          <w:szCs w:val="28"/>
        </w:rPr>
        <w:t>Rationale/Purpose of the Policy</w:t>
      </w:r>
      <w:r>
        <w:rPr>
          <w:b/>
          <w:sz w:val="28"/>
          <w:szCs w:val="28"/>
        </w:rPr>
        <w:tab/>
      </w:r>
    </w:p>
    <w:p w14:paraId="41B56EA8" w14:textId="77777777" w:rsidR="00EC0A10" w:rsidRDefault="00000000">
      <w:pPr>
        <w:widowControl w:val="0"/>
        <w:ind w:right="84"/>
        <w:rPr>
          <w:rFonts w:ascii="Times New Roman" w:eastAsia="Times New Roman" w:hAnsi="Times New Roman" w:cs="Times New Roman"/>
          <w:sz w:val="24"/>
          <w:szCs w:val="24"/>
        </w:rPr>
      </w:pPr>
      <w:r>
        <w:t xml:space="preserve">The purpose of this policy is to ensure that School of Education departments that provide instruction to students from </w:t>
      </w:r>
      <w:r>
        <w:rPr>
          <w:i/>
        </w:rPr>
        <w:t>other</w:t>
      </w:r>
      <w:r>
        <w:t xml:space="preserve"> departments’ Fund 131 programs are fairly compensated for accommodating those students. </w:t>
      </w:r>
    </w:p>
    <w:p w14:paraId="68630C74" w14:textId="77777777" w:rsidR="00EC0A10" w:rsidRDefault="00000000">
      <w:pPr>
        <w:pStyle w:val="Heading3"/>
      </w:pPr>
      <w:r>
        <w:t>Definitions</w:t>
      </w:r>
    </w:p>
    <w:p w14:paraId="3AE1ADC9" w14:textId="77777777" w:rsidR="00EC0A10" w:rsidRDefault="00000000">
      <w:r>
        <w:rPr>
          <w:color w:val="808080"/>
        </w:rPr>
        <w:t xml:space="preserve">Add explanations of key terms or concepts specific to the policy. </w:t>
      </w:r>
      <w:r>
        <w:rPr>
          <w:i/>
          <w:color w:val="4472C4"/>
        </w:rPr>
        <w:t>(optional)</w:t>
      </w:r>
    </w:p>
    <w:p w14:paraId="7ED4C438" w14:textId="77777777" w:rsidR="00EC0A10" w:rsidRDefault="00000000">
      <w:pPr>
        <w:pStyle w:val="Heading3"/>
      </w:pPr>
      <w:r>
        <w:br/>
        <w:t>Scope</w:t>
      </w:r>
    </w:p>
    <w:p w14:paraId="43788E22" w14:textId="77777777" w:rsidR="00EC0A10" w:rsidRDefault="00000000">
      <w:r>
        <w:rPr>
          <w:color w:val="808080"/>
        </w:rPr>
        <w:t xml:space="preserve">Add a general statement about who and/or what the policy applies to. </w:t>
      </w:r>
      <w:r>
        <w:rPr>
          <w:i/>
          <w:color w:val="4472C4"/>
        </w:rPr>
        <w:t>(optional)</w:t>
      </w:r>
    </w:p>
    <w:p w14:paraId="02F17683" w14:textId="77777777" w:rsidR="00EC0A10" w:rsidRDefault="00EC0A10">
      <w:pPr>
        <w:rPr>
          <w:sz w:val="24"/>
          <w:szCs w:val="24"/>
        </w:rPr>
      </w:pPr>
    </w:p>
    <w:p w14:paraId="045C2FFF" w14:textId="77777777" w:rsidR="00EC0A10" w:rsidRDefault="00000000">
      <w:pPr>
        <w:pStyle w:val="Heading3"/>
      </w:pPr>
      <w:r>
        <w:t>Policy Details</w:t>
      </w:r>
    </w:p>
    <w:p w14:paraId="5FAA0A27" w14:textId="77777777" w:rsidR="00EC0A10" w:rsidRDefault="00000000">
      <w:pPr>
        <w:rPr>
          <w:sz w:val="24"/>
          <w:szCs w:val="24"/>
        </w:rPr>
      </w:pPr>
      <w:r>
        <w:rPr>
          <w:sz w:val="24"/>
          <w:szCs w:val="24"/>
        </w:rPr>
        <w:t>When students enrolled in a Fund 131 program in the School of Education at UW-Madison take any course(s) taught by an instructor (or instructors) from another department in the School of Education, the Fund 131 program must compensate the instructor’s home department as follows:</w:t>
      </w:r>
    </w:p>
    <w:p w14:paraId="195453B3" w14:textId="77777777" w:rsidR="00EC0A10" w:rsidRDefault="00EC0A10">
      <w:pPr>
        <w:rPr>
          <w:b/>
          <w:sz w:val="24"/>
          <w:szCs w:val="24"/>
        </w:rPr>
      </w:pPr>
    </w:p>
    <w:p w14:paraId="531BC6E7" w14:textId="77777777" w:rsidR="00EC0A10" w:rsidRDefault="00000000">
      <w:pPr>
        <w:rPr>
          <w:b/>
          <w:i/>
          <w:sz w:val="24"/>
          <w:szCs w:val="24"/>
        </w:rPr>
      </w:pPr>
      <w:r>
        <w:rPr>
          <w:b/>
          <w:sz w:val="24"/>
          <w:szCs w:val="24"/>
        </w:rPr>
        <w:t xml:space="preserve">A. </w:t>
      </w:r>
      <w:r>
        <w:rPr>
          <w:b/>
          <w:i/>
          <w:sz w:val="24"/>
          <w:szCs w:val="24"/>
        </w:rPr>
        <w:t>When a course is taught during the academic year:</w:t>
      </w:r>
    </w:p>
    <w:p w14:paraId="6BAA73B1" w14:textId="77777777" w:rsidR="00EC0A10" w:rsidRDefault="00EC0A10">
      <w:pPr>
        <w:tabs>
          <w:tab w:val="left" w:pos="7180"/>
        </w:tabs>
        <w:rPr>
          <w:sz w:val="24"/>
          <w:szCs w:val="24"/>
        </w:rPr>
      </w:pPr>
    </w:p>
    <w:p w14:paraId="05253D19" w14:textId="77777777" w:rsidR="00EC0A10" w:rsidRDefault="00000000">
      <w:pPr>
        <w:tabs>
          <w:tab w:val="left" w:pos="7180"/>
        </w:tabs>
        <w:rPr>
          <w:sz w:val="24"/>
          <w:szCs w:val="24"/>
        </w:rPr>
      </w:pPr>
      <w:r>
        <w:rPr>
          <w:sz w:val="24"/>
          <w:szCs w:val="24"/>
        </w:rPr>
        <w:t>Model 1</w:t>
      </w:r>
    </w:p>
    <w:p w14:paraId="00A59BDD" w14:textId="77777777" w:rsidR="00EC0A10" w:rsidRDefault="00000000">
      <w:pPr>
        <w:numPr>
          <w:ilvl w:val="0"/>
          <w:numId w:val="2"/>
        </w:numPr>
        <w:tabs>
          <w:tab w:val="left" w:pos="7180"/>
        </w:tabs>
        <w:rPr>
          <w:sz w:val="24"/>
          <w:szCs w:val="24"/>
        </w:rPr>
      </w:pPr>
      <w:r>
        <w:rPr>
          <w:i/>
          <w:sz w:val="24"/>
          <w:szCs w:val="24"/>
          <w:u w:val="single"/>
        </w:rPr>
        <w:t xml:space="preserve">If an SoE instructor teaches any (101 or 131) course sections that </w:t>
      </w:r>
      <w:r>
        <w:rPr>
          <w:b/>
          <w:i/>
          <w:sz w:val="24"/>
          <w:szCs w:val="24"/>
          <w:u w:val="single"/>
        </w:rPr>
        <w:t xml:space="preserve">include </w:t>
      </w:r>
      <w:r>
        <w:rPr>
          <w:i/>
          <w:sz w:val="24"/>
          <w:szCs w:val="24"/>
          <w:u w:val="single"/>
        </w:rPr>
        <w:t>students from another SoE department’s Fund 131 program</w:t>
      </w:r>
      <w:r>
        <w:rPr>
          <w:sz w:val="24"/>
          <w:szCs w:val="24"/>
        </w:rPr>
        <w:t xml:space="preserve">, then the Fund 131 program must transfer funds into the instructor’s home department at a standard rate of $550/credit for each student from the Fund 131 program. For example:  </w:t>
      </w:r>
    </w:p>
    <w:p w14:paraId="6C590E1A" w14:textId="77777777" w:rsidR="00EC0A10" w:rsidRDefault="00EC0A10">
      <w:pPr>
        <w:tabs>
          <w:tab w:val="left" w:pos="7180"/>
        </w:tabs>
        <w:rPr>
          <w:sz w:val="24"/>
          <w:szCs w:val="24"/>
        </w:rPr>
      </w:pPr>
    </w:p>
    <w:p w14:paraId="2F7EEAB7" w14:textId="77777777" w:rsidR="00EC0A10" w:rsidRDefault="00000000">
      <w:pPr>
        <w:tabs>
          <w:tab w:val="left" w:pos="7180"/>
        </w:tabs>
        <w:ind w:left="1440"/>
        <w:rPr>
          <w:sz w:val="24"/>
          <w:szCs w:val="24"/>
        </w:rPr>
      </w:pPr>
      <w:r>
        <w:rPr>
          <w:sz w:val="24"/>
          <w:szCs w:val="24"/>
        </w:rPr>
        <w:t>131 PROGRAM REVENUE COLLECTED @ $800/</w:t>
      </w:r>
      <w:proofErr w:type="gramStart"/>
      <w:r>
        <w:rPr>
          <w:sz w:val="24"/>
          <w:szCs w:val="24"/>
        </w:rPr>
        <w:t>credit</w:t>
      </w:r>
      <w:proofErr w:type="gramEnd"/>
      <w:r>
        <w:rPr>
          <w:sz w:val="24"/>
          <w:szCs w:val="24"/>
        </w:rPr>
        <w:t xml:space="preserve"> </w:t>
      </w:r>
    </w:p>
    <w:p w14:paraId="32FF49D2" w14:textId="77777777" w:rsidR="00EC0A10" w:rsidRDefault="00EC0A10">
      <w:pPr>
        <w:tabs>
          <w:tab w:val="left" w:pos="7180"/>
        </w:tabs>
        <w:ind w:left="1440"/>
        <w:rPr>
          <w:sz w:val="24"/>
          <w:szCs w:val="24"/>
        </w:rPr>
      </w:pPr>
    </w:p>
    <w:tbl>
      <w:tblPr>
        <w:tblStyle w:val="a1"/>
        <w:tblW w:w="930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5"/>
        <w:gridCol w:w="1330"/>
        <w:gridCol w:w="2055"/>
        <w:gridCol w:w="1380"/>
        <w:gridCol w:w="3060"/>
      </w:tblGrid>
      <w:tr w:rsidR="00EC0A10" w14:paraId="19BF9B37" w14:textId="77777777">
        <w:tc>
          <w:tcPr>
            <w:tcW w:w="1474" w:type="dxa"/>
            <w:shd w:val="clear" w:color="auto" w:fill="auto"/>
            <w:tcMar>
              <w:top w:w="100" w:type="dxa"/>
              <w:left w:w="100" w:type="dxa"/>
              <w:bottom w:w="100" w:type="dxa"/>
              <w:right w:w="100" w:type="dxa"/>
            </w:tcMar>
          </w:tcPr>
          <w:p w14:paraId="06BFC0E1" w14:textId="77777777" w:rsidR="00EC0A10" w:rsidRDefault="00000000">
            <w:pPr>
              <w:widowControl w:val="0"/>
              <w:pBdr>
                <w:top w:val="nil"/>
                <w:left w:val="nil"/>
                <w:bottom w:val="nil"/>
                <w:right w:val="nil"/>
                <w:between w:val="nil"/>
              </w:pBdr>
              <w:rPr>
                <w:sz w:val="24"/>
                <w:szCs w:val="24"/>
              </w:rPr>
            </w:pPr>
            <w:r>
              <w:rPr>
                <w:sz w:val="24"/>
                <w:szCs w:val="24"/>
              </w:rPr>
              <w:t># of students from another department</w:t>
            </w:r>
          </w:p>
        </w:tc>
        <w:tc>
          <w:tcPr>
            <w:tcW w:w="1330" w:type="dxa"/>
            <w:shd w:val="clear" w:color="auto" w:fill="auto"/>
            <w:tcMar>
              <w:top w:w="100" w:type="dxa"/>
              <w:left w:w="100" w:type="dxa"/>
              <w:bottom w:w="100" w:type="dxa"/>
              <w:right w:w="100" w:type="dxa"/>
            </w:tcMar>
          </w:tcPr>
          <w:p w14:paraId="05572513" w14:textId="77777777" w:rsidR="00EC0A10" w:rsidRDefault="00000000">
            <w:pPr>
              <w:widowControl w:val="0"/>
              <w:pBdr>
                <w:top w:val="nil"/>
                <w:left w:val="nil"/>
                <w:bottom w:val="nil"/>
                <w:right w:val="nil"/>
                <w:between w:val="nil"/>
              </w:pBdr>
              <w:rPr>
                <w:sz w:val="24"/>
                <w:szCs w:val="24"/>
              </w:rPr>
            </w:pPr>
            <w:r>
              <w:rPr>
                <w:sz w:val="24"/>
                <w:szCs w:val="24"/>
              </w:rPr>
              <w:t># of credits</w:t>
            </w:r>
          </w:p>
        </w:tc>
        <w:tc>
          <w:tcPr>
            <w:tcW w:w="2055" w:type="dxa"/>
            <w:shd w:val="clear" w:color="auto" w:fill="auto"/>
            <w:tcMar>
              <w:top w:w="100" w:type="dxa"/>
              <w:left w:w="100" w:type="dxa"/>
              <w:bottom w:w="100" w:type="dxa"/>
              <w:right w:w="100" w:type="dxa"/>
            </w:tcMar>
          </w:tcPr>
          <w:p w14:paraId="7B35F941" w14:textId="77777777" w:rsidR="00EC0A10" w:rsidRDefault="00000000">
            <w:pPr>
              <w:widowControl w:val="0"/>
              <w:pBdr>
                <w:top w:val="nil"/>
                <w:left w:val="nil"/>
                <w:bottom w:val="nil"/>
                <w:right w:val="nil"/>
                <w:between w:val="nil"/>
              </w:pBdr>
              <w:rPr>
                <w:sz w:val="24"/>
                <w:szCs w:val="24"/>
              </w:rPr>
            </w:pPr>
            <w:r>
              <w:rPr>
                <w:sz w:val="24"/>
                <w:szCs w:val="24"/>
              </w:rPr>
              <w:t>$800/credit</w:t>
            </w:r>
          </w:p>
        </w:tc>
        <w:tc>
          <w:tcPr>
            <w:tcW w:w="1380" w:type="dxa"/>
            <w:shd w:val="clear" w:color="auto" w:fill="auto"/>
            <w:tcMar>
              <w:top w:w="100" w:type="dxa"/>
              <w:left w:w="100" w:type="dxa"/>
              <w:bottom w:w="100" w:type="dxa"/>
              <w:right w:w="100" w:type="dxa"/>
            </w:tcMar>
          </w:tcPr>
          <w:p w14:paraId="60A82B05" w14:textId="77777777" w:rsidR="00EC0A10" w:rsidRDefault="00000000">
            <w:pPr>
              <w:widowControl w:val="0"/>
              <w:pBdr>
                <w:top w:val="nil"/>
                <w:left w:val="nil"/>
                <w:bottom w:val="nil"/>
                <w:right w:val="nil"/>
                <w:between w:val="nil"/>
              </w:pBdr>
              <w:rPr>
                <w:sz w:val="24"/>
                <w:szCs w:val="24"/>
              </w:rPr>
            </w:pPr>
            <w:r>
              <w:rPr>
                <w:sz w:val="24"/>
                <w:szCs w:val="24"/>
              </w:rPr>
              <w:t>after 10% campus tax</w:t>
            </w:r>
          </w:p>
        </w:tc>
        <w:tc>
          <w:tcPr>
            <w:tcW w:w="3060" w:type="dxa"/>
            <w:shd w:val="clear" w:color="auto" w:fill="auto"/>
            <w:tcMar>
              <w:top w:w="100" w:type="dxa"/>
              <w:left w:w="100" w:type="dxa"/>
              <w:bottom w:w="100" w:type="dxa"/>
              <w:right w:w="100" w:type="dxa"/>
            </w:tcMar>
          </w:tcPr>
          <w:p w14:paraId="2E875B20" w14:textId="77777777" w:rsidR="00EC0A10" w:rsidRDefault="00000000">
            <w:pPr>
              <w:widowControl w:val="0"/>
              <w:pBdr>
                <w:top w:val="nil"/>
                <w:left w:val="nil"/>
                <w:bottom w:val="nil"/>
                <w:right w:val="nil"/>
                <w:between w:val="nil"/>
              </w:pBdr>
              <w:rPr>
                <w:sz w:val="24"/>
                <w:szCs w:val="24"/>
              </w:rPr>
            </w:pPr>
            <w:r>
              <w:rPr>
                <w:sz w:val="24"/>
                <w:szCs w:val="24"/>
              </w:rPr>
              <w:t>TOTAL REVENUE</w:t>
            </w:r>
          </w:p>
        </w:tc>
      </w:tr>
      <w:tr w:rsidR="00EC0A10" w14:paraId="01AE63D2" w14:textId="77777777">
        <w:tc>
          <w:tcPr>
            <w:tcW w:w="1474" w:type="dxa"/>
            <w:shd w:val="clear" w:color="auto" w:fill="auto"/>
            <w:tcMar>
              <w:top w:w="100" w:type="dxa"/>
              <w:left w:w="100" w:type="dxa"/>
              <w:bottom w:w="100" w:type="dxa"/>
              <w:right w:w="100" w:type="dxa"/>
            </w:tcMar>
          </w:tcPr>
          <w:p w14:paraId="66B2567C" w14:textId="77777777" w:rsidR="00EC0A10" w:rsidRDefault="00000000">
            <w:pPr>
              <w:widowControl w:val="0"/>
              <w:pBdr>
                <w:top w:val="nil"/>
                <w:left w:val="nil"/>
                <w:bottom w:val="nil"/>
                <w:right w:val="nil"/>
                <w:between w:val="nil"/>
              </w:pBdr>
              <w:rPr>
                <w:sz w:val="24"/>
                <w:szCs w:val="24"/>
              </w:rPr>
            </w:pPr>
            <w:r>
              <w:rPr>
                <w:sz w:val="24"/>
                <w:szCs w:val="24"/>
              </w:rPr>
              <w:t>5</w:t>
            </w:r>
          </w:p>
        </w:tc>
        <w:tc>
          <w:tcPr>
            <w:tcW w:w="1330" w:type="dxa"/>
            <w:shd w:val="clear" w:color="auto" w:fill="auto"/>
            <w:tcMar>
              <w:top w:w="100" w:type="dxa"/>
              <w:left w:w="100" w:type="dxa"/>
              <w:bottom w:w="100" w:type="dxa"/>
              <w:right w:w="100" w:type="dxa"/>
            </w:tcMar>
          </w:tcPr>
          <w:p w14:paraId="62ACB427" w14:textId="77777777" w:rsidR="00EC0A10" w:rsidRDefault="00000000">
            <w:pPr>
              <w:widowControl w:val="0"/>
              <w:pBdr>
                <w:top w:val="nil"/>
                <w:left w:val="nil"/>
                <w:bottom w:val="nil"/>
                <w:right w:val="nil"/>
                <w:between w:val="nil"/>
              </w:pBdr>
              <w:rPr>
                <w:sz w:val="24"/>
                <w:szCs w:val="24"/>
              </w:rPr>
            </w:pPr>
            <w:r>
              <w:rPr>
                <w:sz w:val="24"/>
                <w:szCs w:val="24"/>
              </w:rPr>
              <w:t>3</w:t>
            </w:r>
          </w:p>
        </w:tc>
        <w:tc>
          <w:tcPr>
            <w:tcW w:w="2055" w:type="dxa"/>
            <w:shd w:val="clear" w:color="auto" w:fill="auto"/>
            <w:tcMar>
              <w:top w:w="100" w:type="dxa"/>
              <w:left w:w="100" w:type="dxa"/>
              <w:bottom w:w="100" w:type="dxa"/>
              <w:right w:w="100" w:type="dxa"/>
            </w:tcMar>
          </w:tcPr>
          <w:p w14:paraId="16882598" w14:textId="77777777" w:rsidR="00EC0A10" w:rsidRDefault="00000000">
            <w:pPr>
              <w:widowControl w:val="0"/>
              <w:pBdr>
                <w:top w:val="nil"/>
                <w:left w:val="nil"/>
                <w:bottom w:val="nil"/>
                <w:right w:val="nil"/>
                <w:between w:val="nil"/>
              </w:pBdr>
              <w:rPr>
                <w:sz w:val="24"/>
                <w:szCs w:val="24"/>
              </w:rPr>
            </w:pPr>
            <w:r>
              <w:rPr>
                <w:sz w:val="24"/>
                <w:szCs w:val="24"/>
              </w:rPr>
              <w:t>$800</w:t>
            </w:r>
          </w:p>
        </w:tc>
        <w:tc>
          <w:tcPr>
            <w:tcW w:w="1380" w:type="dxa"/>
            <w:shd w:val="clear" w:color="auto" w:fill="auto"/>
            <w:tcMar>
              <w:top w:w="100" w:type="dxa"/>
              <w:left w:w="100" w:type="dxa"/>
              <w:bottom w:w="100" w:type="dxa"/>
              <w:right w:w="100" w:type="dxa"/>
            </w:tcMar>
          </w:tcPr>
          <w:p w14:paraId="00170181" w14:textId="77777777" w:rsidR="00EC0A10" w:rsidRDefault="00000000">
            <w:pPr>
              <w:widowControl w:val="0"/>
              <w:pBdr>
                <w:top w:val="nil"/>
                <w:left w:val="nil"/>
                <w:bottom w:val="nil"/>
                <w:right w:val="nil"/>
                <w:between w:val="nil"/>
              </w:pBdr>
              <w:rPr>
                <w:sz w:val="24"/>
                <w:szCs w:val="24"/>
              </w:rPr>
            </w:pPr>
            <w:r>
              <w:rPr>
                <w:sz w:val="24"/>
                <w:szCs w:val="24"/>
              </w:rPr>
              <w:t>$720</w:t>
            </w:r>
          </w:p>
        </w:tc>
        <w:tc>
          <w:tcPr>
            <w:tcW w:w="3060" w:type="dxa"/>
            <w:shd w:val="clear" w:color="auto" w:fill="auto"/>
            <w:tcMar>
              <w:top w:w="100" w:type="dxa"/>
              <w:left w:w="100" w:type="dxa"/>
              <w:bottom w:w="100" w:type="dxa"/>
              <w:right w:w="100" w:type="dxa"/>
            </w:tcMar>
          </w:tcPr>
          <w:p w14:paraId="0DA157B5" w14:textId="77777777" w:rsidR="00EC0A10" w:rsidRDefault="00000000">
            <w:pPr>
              <w:widowControl w:val="0"/>
              <w:pBdr>
                <w:top w:val="nil"/>
                <w:left w:val="nil"/>
                <w:bottom w:val="nil"/>
                <w:right w:val="nil"/>
                <w:between w:val="nil"/>
              </w:pBdr>
              <w:rPr>
                <w:sz w:val="24"/>
                <w:szCs w:val="24"/>
              </w:rPr>
            </w:pPr>
            <w:r>
              <w:rPr>
                <w:sz w:val="24"/>
                <w:szCs w:val="24"/>
              </w:rPr>
              <w:t>$10,800</w:t>
            </w:r>
          </w:p>
        </w:tc>
      </w:tr>
      <w:tr w:rsidR="00EC0A10" w14:paraId="15D765DA" w14:textId="77777777">
        <w:tc>
          <w:tcPr>
            <w:tcW w:w="1474" w:type="dxa"/>
            <w:shd w:val="clear" w:color="auto" w:fill="auto"/>
            <w:tcMar>
              <w:top w:w="100" w:type="dxa"/>
              <w:left w:w="100" w:type="dxa"/>
              <w:bottom w:w="100" w:type="dxa"/>
              <w:right w:w="100" w:type="dxa"/>
            </w:tcMar>
          </w:tcPr>
          <w:p w14:paraId="1A381EBD" w14:textId="77777777" w:rsidR="00EC0A10" w:rsidRDefault="00000000">
            <w:pPr>
              <w:widowControl w:val="0"/>
              <w:pBdr>
                <w:top w:val="nil"/>
                <w:left w:val="nil"/>
                <w:bottom w:val="nil"/>
                <w:right w:val="nil"/>
                <w:between w:val="nil"/>
              </w:pBdr>
              <w:rPr>
                <w:sz w:val="24"/>
                <w:szCs w:val="24"/>
              </w:rPr>
            </w:pPr>
            <w:r>
              <w:rPr>
                <w:sz w:val="24"/>
                <w:szCs w:val="24"/>
              </w:rPr>
              <w:lastRenderedPageBreak/>
              <w:t>15</w:t>
            </w:r>
          </w:p>
        </w:tc>
        <w:tc>
          <w:tcPr>
            <w:tcW w:w="1330" w:type="dxa"/>
            <w:shd w:val="clear" w:color="auto" w:fill="auto"/>
            <w:tcMar>
              <w:top w:w="100" w:type="dxa"/>
              <w:left w:w="100" w:type="dxa"/>
              <w:bottom w:w="100" w:type="dxa"/>
              <w:right w:w="100" w:type="dxa"/>
            </w:tcMar>
          </w:tcPr>
          <w:p w14:paraId="760009D3" w14:textId="77777777" w:rsidR="00EC0A10" w:rsidRDefault="00000000">
            <w:pPr>
              <w:widowControl w:val="0"/>
              <w:pBdr>
                <w:top w:val="nil"/>
                <w:left w:val="nil"/>
                <w:bottom w:val="nil"/>
                <w:right w:val="nil"/>
                <w:between w:val="nil"/>
              </w:pBdr>
              <w:rPr>
                <w:sz w:val="24"/>
                <w:szCs w:val="24"/>
              </w:rPr>
            </w:pPr>
            <w:r>
              <w:rPr>
                <w:sz w:val="24"/>
                <w:szCs w:val="24"/>
              </w:rPr>
              <w:t>3</w:t>
            </w:r>
          </w:p>
        </w:tc>
        <w:tc>
          <w:tcPr>
            <w:tcW w:w="2055" w:type="dxa"/>
            <w:shd w:val="clear" w:color="auto" w:fill="auto"/>
            <w:tcMar>
              <w:top w:w="100" w:type="dxa"/>
              <w:left w:w="100" w:type="dxa"/>
              <w:bottom w:w="100" w:type="dxa"/>
              <w:right w:w="100" w:type="dxa"/>
            </w:tcMar>
          </w:tcPr>
          <w:p w14:paraId="7A85E824" w14:textId="77777777" w:rsidR="00EC0A10" w:rsidRDefault="00000000">
            <w:pPr>
              <w:widowControl w:val="0"/>
              <w:rPr>
                <w:sz w:val="24"/>
                <w:szCs w:val="24"/>
              </w:rPr>
            </w:pPr>
            <w:r>
              <w:rPr>
                <w:sz w:val="24"/>
                <w:szCs w:val="24"/>
              </w:rPr>
              <w:t>$800</w:t>
            </w:r>
          </w:p>
        </w:tc>
        <w:tc>
          <w:tcPr>
            <w:tcW w:w="1380" w:type="dxa"/>
            <w:shd w:val="clear" w:color="auto" w:fill="auto"/>
            <w:tcMar>
              <w:top w:w="100" w:type="dxa"/>
              <w:left w:w="100" w:type="dxa"/>
              <w:bottom w:w="100" w:type="dxa"/>
              <w:right w:w="100" w:type="dxa"/>
            </w:tcMar>
          </w:tcPr>
          <w:p w14:paraId="7E27AAE1" w14:textId="77777777" w:rsidR="00EC0A10" w:rsidRDefault="00000000">
            <w:pPr>
              <w:widowControl w:val="0"/>
              <w:rPr>
                <w:sz w:val="24"/>
                <w:szCs w:val="24"/>
              </w:rPr>
            </w:pPr>
            <w:r>
              <w:rPr>
                <w:sz w:val="24"/>
                <w:szCs w:val="24"/>
              </w:rPr>
              <w:t>$720</w:t>
            </w:r>
          </w:p>
        </w:tc>
        <w:tc>
          <w:tcPr>
            <w:tcW w:w="3060" w:type="dxa"/>
            <w:shd w:val="clear" w:color="auto" w:fill="auto"/>
            <w:tcMar>
              <w:top w:w="100" w:type="dxa"/>
              <w:left w:w="100" w:type="dxa"/>
              <w:bottom w:w="100" w:type="dxa"/>
              <w:right w:w="100" w:type="dxa"/>
            </w:tcMar>
          </w:tcPr>
          <w:p w14:paraId="52D3790A" w14:textId="77777777" w:rsidR="00EC0A10" w:rsidRDefault="00000000">
            <w:pPr>
              <w:widowControl w:val="0"/>
              <w:pBdr>
                <w:top w:val="nil"/>
                <w:left w:val="nil"/>
                <w:bottom w:val="nil"/>
                <w:right w:val="nil"/>
                <w:between w:val="nil"/>
              </w:pBdr>
              <w:rPr>
                <w:sz w:val="24"/>
                <w:szCs w:val="24"/>
              </w:rPr>
            </w:pPr>
            <w:r>
              <w:rPr>
                <w:sz w:val="24"/>
                <w:szCs w:val="24"/>
              </w:rPr>
              <w:t>$32,400</w:t>
            </w:r>
          </w:p>
        </w:tc>
      </w:tr>
      <w:tr w:rsidR="00EC0A10" w14:paraId="6FC33240" w14:textId="77777777">
        <w:tc>
          <w:tcPr>
            <w:tcW w:w="1474" w:type="dxa"/>
            <w:shd w:val="clear" w:color="auto" w:fill="auto"/>
            <w:tcMar>
              <w:top w:w="100" w:type="dxa"/>
              <w:left w:w="100" w:type="dxa"/>
              <w:bottom w:w="100" w:type="dxa"/>
              <w:right w:w="100" w:type="dxa"/>
            </w:tcMar>
          </w:tcPr>
          <w:p w14:paraId="036B2149" w14:textId="77777777" w:rsidR="00EC0A10" w:rsidRDefault="00000000">
            <w:pPr>
              <w:widowControl w:val="0"/>
              <w:pBdr>
                <w:top w:val="nil"/>
                <w:left w:val="nil"/>
                <w:bottom w:val="nil"/>
                <w:right w:val="nil"/>
                <w:between w:val="nil"/>
              </w:pBdr>
              <w:rPr>
                <w:sz w:val="24"/>
                <w:szCs w:val="24"/>
              </w:rPr>
            </w:pPr>
            <w:r>
              <w:rPr>
                <w:sz w:val="24"/>
                <w:szCs w:val="24"/>
              </w:rPr>
              <w:t>25</w:t>
            </w:r>
          </w:p>
        </w:tc>
        <w:tc>
          <w:tcPr>
            <w:tcW w:w="1330" w:type="dxa"/>
            <w:shd w:val="clear" w:color="auto" w:fill="auto"/>
            <w:tcMar>
              <w:top w:w="100" w:type="dxa"/>
              <w:left w:w="100" w:type="dxa"/>
              <w:bottom w:w="100" w:type="dxa"/>
              <w:right w:w="100" w:type="dxa"/>
            </w:tcMar>
          </w:tcPr>
          <w:p w14:paraId="3FE88CC4" w14:textId="77777777" w:rsidR="00EC0A10" w:rsidRDefault="00000000">
            <w:pPr>
              <w:widowControl w:val="0"/>
              <w:rPr>
                <w:sz w:val="24"/>
                <w:szCs w:val="24"/>
              </w:rPr>
            </w:pPr>
            <w:r>
              <w:rPr>
                <w:sz w:val="24"/>
                <w:szCs w:val="24"/>
              </w:rPr>
              <w:t>3</w:t>
            </w:r>
          </w:p>
        </w:tc>
        <w:tc>
          <w:tcPr>
            <w:tcW w:w="2055" w:type="dxa"/>
            <w:shd w:val="clear" w:color="auto" w:fill="auto"/>
            <w:tcMar>
              <w:top w:w="100" w:type="dxa"/>
              <w:left w:w="100" w:type="dxa"/>
              <w:bottom w:w="100" w:type="dxa"/>
              <w:right w:w="100" w:type="dxa"/>
            </w:tcMar>
          </w:tcPr>
          <w:p w14:paraId="576D0B3A" w14:textId="77777777" w:rsidR="00EC0A10" w:rsidRDefault="00000000">
            <w:pPr>
              <w:widowControl w:val="0"/>
              <w:rPr>
                <w:sz w:val="24"/>
                <w:szCs w:val="24"/>
              </w:rPr>
            </w:pPr>
            <w:r>
              <w:rPr>
                <w:sz w:val="24"/>
                <w:szCs w:val="24"/>
              </w:rPr>
              <w:t>$800</w:t>
            </w:r>
          </w:p>
        </w:tc>
        <w:tc>
          <w:tcPr>
            <w:tcW w:w="1380" w:type="dxa"/>
            <w:shd w:val="clear" w:color="auto" w:fill="auto"/>
            <w:tcMar>
              <w:top w:w="100" w:type="dxa"/>
              <w:left w:w="100" w:type="dxa"/>
              <w:bottom w:w="100" w:type="dxa"/>
              <w:right w:w="100" w:type="dxa"/>
            </w:tcMar>
          </w:tcPr>
          <w:p w14:paraId="0D54899D" w14:textId="77777777" w:rsidR="00EC0A10" w:rsidRDefault="00000000">
            <w:pPr>
              <w:widowControl w:val="0"/>
              <w:rPr>
                <w:sz w:val="24"/>
                <w:szCs w:val="24"/>
              </w:rPr>
            </w:pPr>
            <w:r>
              <w:rPr>
                <w:sz w:val="24"/>
                <w:szCs w:val="24"/>
              </w:rPr>
              <w:t>$720</w:t>
            </w:r>
          </w:p>
        </w:tc>
        <w:tc>
          <w:tcPr>
            <w:tcW w:w="3060" w:type="dxa"/>
            <w:shd w:val="clear" w:color="auto" w:fill="auto"/>
            <w:tcMar>
              <w:top w:w="100" w:type="dxa"/>
              <w:left w:w="100" w:type="dxa"/>
              <w:bottom w:w="100" w:type="dxa"/>
              <w:right w:w="100" w:type="dxa"/>
            </w:tcMar>
          </w:tcPr>
          <w:p w14:paraId="7F3001D5" w14:textId="77777777" w:rsidR="00EC0A10" w:rsidRDefault="00000000">
            <w:pPr>
              <w:widowControl w:val="0"/>
              <w:pBdr>
                <w:top w:val="nil"/>
                <w:left w:val="nil"/>
                <w:bottom w:val="nil"/>
                <w:right w:val="nil"/>
                <w:between w:val="nil"/>
              </w:pBdr>
              <w:rPr>
                <w:sz w:val="24"/>
                <w:szCs w:val="24"/>
              </w:rPr>
            </w:pPr>
            <w:r>
              <w:rPr>
                <w:sz w:val="24"/>
                <w:szCs w:val="24"/>
              </w:rPr>
              <w:t>$54,00</w:t>
            </w:r>
          </w:p>
        </w:tc>
      </w:tr>
      <w:tr w:rsidR="00EC0A10" w14:paraId="3B297AEB" w14:textId="77777777">
        <w:tc>
          <w:tcPr>
            <w:tcW w:w="1474" w:type="dxa"/>
            <w:shd w:val="clear" w:color="auto" w:fill="auto"/>
            <w:tcMar>
              <w:top w:w="100" w:type="dxa"/>
              <w:left w:w="100" w:type="dxa"/>
              <w:bottom w:w="100" w:type="dxa"/>
              <w:right w:w="100" w:type="dxa"/>
            </w:tcMar>
          </w:tcPr>
          <w:p w14:paraId="2E6BB46B" w14:textId="77777777" w:rsidR="00EC0A10" w:rsidRDefault="00000000">
            <w:pPr>
              <w:widowControl w:val="0"/>
              <w:pBdr>
                <w:top w:val="nil"/>
                <w:left w:val="nil"/>
                <w:bottom w:val="nil"/>
                <w:right w:val="nil"/>
                <w:between w:val="nil"/>
              </w:pBdr>
              <w:rPr>
                <w:sz w:val="24"/>
                <w:szCs w:val="24"/>
              </w:rPr>
            </w:pPr>
            <w:r>
              <w:rPr>
                <w:sz w:val="24"/>
                <w:szCs w:val="24"/>
              </w:rPr>
              <w:t>35</w:t>
            </w:r>
          </w:p>
        </w:tc>
        <w:tc>
          <w:tcPr>
            <w:tcW w:w="1330" w:type="dxa"/>
            <w:shd w:val="clear" w:color="auto" w:fill="auto"/>
            <w:tcMar>
              <w:top w:w="100" w:type="dxa"/>
              <w:left w:w="100" w:type="dxa"/>
              <w:bottom w:w="100" w:type="dxa"/>
              <w:right w:w="100" w:type="dxa"/>
            </w:tcMar>
          </w:tcPr>
          <w:p w14:paraId="74F52763" w14:textId="77777777" w:rsidR="00EC0A10" w:rsidRDefault="00000000">
            <w:pPr>
              <w:widowControl w:val="0"/>
              <w:rPr>
                <w:sz w:val="24"/>
                <w:szCs w:val="24"/>
              </w:rPr>
            </w:pPr>
            <w:r>
              <w:rPr>
                <w:sz w:val="24"/>
                <w:szCs w:val="24"/>
              </w:rPr>
              <w:t>3</w:t>
            </w:r>
          </w:p>
        </w:tc>
        <w:tc>
          <w:tcPr>
            <w:tcW w:w="2055" w:type="dxa"/>
            <w:shd w:val="clear" w:color="auto" w:fill="auto"/>
            <w:tcMar>
              <w:top w:w="100" w:type="dxa"/>
              <w:left w:w="100" w:type="dxa"/>
              <w:bottom w:w="100" w:type="dxa"/>
              <w:right w:w="100" w:type="dxa"/>
            </w:tcMar>
          </w:tcPr>
          <w:p w14:paraId="7BF4FBD8" w14:textId="77777777" w:rsidR="00EC0A10" w:rsidRDefault="00000000">
            <w:pPr>
              <w:widowControl w:val="0"/>
              <w:rPr>
                <w:sz w:val="24"/>
                <w:szCs w:val="24"/>
              </w:rPr>
            </w:pPr>
            <w:r>
              <w:rPr>
                <w:sz w:val="24"/>
                <w:szCs w:val="24"/>
              </w:rPr>
              <w:t>$800</w:t>
            </w:r>
          </w:p>
        </w:tc>
        <w:tc>
          <w:tcPr>
            <w:tcW w:w="1380" w:type="dxa"/>
            <w:shd w:val="clear" w:color="auto" w:fill="auto"/>
            <w:tcMar>
              <w:top w:w="100" w:type="dxa"/>
              <w:left w:w="100" w:type="dxa"/>
              <w:bottom w:w="100" w:type="dxa"/>
              <w:right w:w="100" w:type="dxa"/>
            </w:tcMar>
          </w:tcPr>
          <w:p w14:paraId="006E897B" w14:textId="77777777" w:rsidR="00EC0A10" w:rsidRDefault="00000000">
            <w:pPr>
              <w:widowControl w:val="0"/>
              <w:rPr>
                <w:sz w:val="24"/>
                <w:szCs w:val="24"/>
              </w:rPr>
            </w:pPr>
            <w:r>
              <w:rPr>
                <w:sz w:val="24"/>
                <w:szCs w:val="24"/>
              </w:rPr>
              <w:t>$720</w:t>
            </w:r>
          </w:p>
        </w:tc>
        <w:tc>
          <w:tcPr>
            <w:tcW w:w="3060" w:type="dxa"/>
            <w:shd w:val="clear" w:color="auto" w:fill="auto"/>
            <w:tcMar>
              <w:top w:w="100" w:type="dxa"/>
              <w:left w:w="100" w:type="dxa"/>
              <w:bottom w:w="100" w:type="dxa"/>
              <w:right w:w="100" w:type="dxa"/>
            </w:tcMar>
          </w:tcPr>
          <w:p w14:paraId="2B9CD87A" w14:textId="77777777" w:rsidR="00EC0A10" w:rsidRDefault="00000000">
            <w:pPr>
              <w:widowControl w:val="0"/>
              <w:pBdr>
                <w:top w:val="nil"/>
                <w:left w:val="nil"/>
                <w:bottom w:val="nil"/>
                <w:right w:val="nil"/>
                <w:between w:val="nil"/>
              </w:pBdr>
              <w:rPr>
                <w:sz w:val="24"/>
                <w:szCs w:val="24"/>
              </w:rPr>
            </w:pPr>
            <w:r>
              <w:rPr>
                <w:sz w:val="24"/>
                <w:szCs w:val="24"/>
              </w:rPr>
              <w:t>$75,600</w:t>
            </w:r>
          </w:p>
        </w:tc>
      </w:tr>
    </w:tbl>
    <w:p w14:paraId="415D49FF" w14:textId="77777777" w:rsidR="00EC0A10" w:rsidRDefault="00EC0A10">
      <w:pPr>
        <w:tabs>
          <w:tab w:val="left" w:pos="7180"/>
        </w:tabs>
        <w:ind w:left="1440"/>
        <w:rPr>
          <w:sz w:val="24"/>
          <w:szCs w:val="24"/>
        </w:rPr>
      </w:pPr>
    </w:p>
    <w:p w14:paraId="32EC9BD9" w14:textId="77777777" w:rsidR="00EC0A10" w:rsidRDefault="00000000">
      <w:pPr>
        <w:tabs>
          <w:tab w:val="left" w:pos="7180"/>
        </w:tabs>
        <w:ind w:left="1440"/>
      </w:pPr>
      <w:r>
        <w:t xml:space="preserve">131 PROGRAM REVENUE AFTER INTER-DEPARTMENTAL TRANSFER @ $550/credit </w:t>
      </w:r>
    </w:p>
    <w:tbl>
      <w:tblPr>
        <w:tblStyle w:val="a2"/>
        <w:tblW w:w="930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1095"/>
        <w:gridCol w:w="1695"/>
        <w:gridCol w:w="1980"/>
        <w:gridCol w:w="3060"/>
      </w:tblGrid>
      <w:tr w:rsidR="00EC0A10" w14:paraId="1E5FCA8D" w14:textId="77777777">
        <w:trPr>
          <w:tblHeader/>
        </w:trPr>
        <w:tc>
          <w:tcPr>
            <w:tcW w:w="1470" w:type="dxa"/>
            <w:shd w:val="clear" w:color="auto" w:fill="auto"/>
            <w:tcMar>
              <w:top w:w="100" w:type="dxa"/>
              <w:left w:w="100" w:type="dxa"/>
              <w:bottom w:w="100" w:type="dxa"/>
              <w:right w:w="100" w:type="dxa"/>
            </w:tcMar>
          </w:tcPr>
          <w:p w14:paraId="3A239000" w14:textId="77777777" w:rsidR="00EC0A10" w:rsidRDefault="00000000">
            <w:pPr>
              <w:widowControl w:val="0"/>
              <w:rPr>
                <w:sz w:val="24"/>
                <w:szCs w:val="24"/>
              </w:rPr>
            </w:pPr>
            <w:r>
              <w:rPr>
                <w:sz w:val="24"/>
                <w:szCs w:val="24"/>
              </w:rPr>
              <w:t># of students from another department</w:t>
            </w:r>
          </w:p>
        </w:tc>
        <w:tc>
          <w:tcPr>
            <w:tcW w:w="1095" w:type="dxa"/>
            <w:shd w:val="clear" w:color="auto" w:fill="auto"/>
            <w:tcMar>
              <w:top w:w="100" w:type="dxa"/>
              <w:left w:w="100" w:type="dxa"/>
              <w:bottom w:w="100" w:type="dxa"/>
              <w:right w:w="100" w:type="dxa"/>
            </w:tcMar>
          </w:tcPr>
          <w:p w14:paraId="01582460" w14:textId="77777777" w:rsidR="00EC0A10" w:rsidRDefault="00000000">
            <w:pPr>
              <w:widowControl w:val="0"/>
              <w:rPr>
                <w:sz w:val="24"/>
                <w:szCs w:val="24"/>
              </w:rPr>
            </w:pPr>
            <w:r>
              <w:rPr>
                <w:sz w:val="24"/>
                <w:szCs w:val="24"/>
              </w:rPr>
              <w:t># of credits</w:t>
            </w:r>
          </w:p>
        </w:tc>
        <w:tc>
          <w:tcPr>
            <w:tcW w:w="1695" w:type="dxa"/>
            <w:shd w:val="clear" w:color="auto" w:fill="auto"/>
            <w:tcMar>
              <w:top w:w="100" w:type="dxa"/>
              <w:left w:w="100" w:type="dxa"/>
              <w:bottom w:w="100" w:type="dxa"/>
              <w:right w:w="100" w:type="dxa"/>
            </w:tcMar>
          </w:tcPr>
          <w:p w14:paraId="2D781838" w14:textId="77777777" w:rsidR="00EC0A10" w:rsidRDefault="00000000">
            <w:pPr>
              <w:widowControl w:val="0"/>
              <w:rPr>
                <w:sz w:val="24"/>
                <w:szCs w:val="24"/>
              </w:rPr>
            </w:pPr>
            <w:r>
              <w:rPr>
                <w:sz w:val="24"/>
                <w:szCs w:val="24"/>
              </w:rPr>
              <w:t>$500/credit</w:t>
            </w:r>
          </w:p>
        </w:tc>
        <w:tc>
          <w:tcPr>
            <w:tcW w:w="1980" w:type="dxa"/>
            <w:shd w:val="clear" w:color="auto" w:fill="auto"/>
            <w:tcMar>
              <w:top w:w="100" w:type="dxa"/>
              <w:left w:w="100" w:type="dxa"/>
              <w:bottom w:w="100" w:type="dxa"/>
              <w:right w:w="100" w:type="dxa"/>
            </w:tcMar>
          </w:tcPr>
          <w:p w14:paraId="7345EFAA" w14:textId="77777777" w:rsidR="00EC0A10" w:rsidRDefault="00000000">
            <w:pPr>
              <w:widowControl w:val="0"/>
              <w:rPr>
                <w:sz w:val="24"/>
                <w:szCs w:val="24"/>
              </w:rPr>
            </w:pPr>
            <w:r>
              <w:rPr>
                <w:sz w:val="24"/>
                <w:szCs w:val="24"/>
              </w:rPr>
              <w:t>TOTAL TRANSFER to instructor’s department</w:t>
            </w:r>
          </w:p>
        </w:tc>
        <w:tc>
          <w:tcPr>
            <w:tcW w:w="3060" w:type="dxa"/>
            <w:shd w:val="clear" w:color="auto" w:fill="auto"/>
            <w:tcMar>
              <w:top w:w="100" w:type="dxa"/>
              <w:left w:w="100" w:type="dxa"/>
              <w:bottom w:w="100" w:type="dxa"/>
              <w:right w:w="100" w:type="dxa"/>
            </w:tcMar>
          </w:tcPr>
          <w:p w14:paraId="5D08317F" w14:textId="77777777" w:rsidR="00EC0A10" w:rsidRDefault="00000000">
            <w:pPr>
              <w:widowControl w:val="0"/>
              <w:rPr>
                <w:sz w:val="24"/>
                <w:szCs w:val="24"/>
              </w:rPr>
            </w:pPr>
            <w:r>
              <w:rPr>
                <w:sz w:val="24"/>
                <w:szCs w:val="24"/>
              </w:rPr>
              <w:t>NET REVENUE to 131 Program</w:t>
            </w:r>
          </w:p>
        </w:tc>
      </w:tr>
      <w:tr w:rsidR="00EC0A10" w14:paraId="6F0C777F" w14:textId="77777777">
        <w:trPr>
          <w:tblHeader/>
        </w:trPr>
        <w:tc>
          <w:tcPr>
            <w:tcW w:w="1470" w:type="dxa"/>
            <w:shd w:val="clear" w:color="auto" w:fill="auto"/>
            <w:tcMar>
              <w:top w:w="100" w:type="dxa"/>
              <w:left w:w="100" w:type="dxa"/>
              <w:bottom w:w="100" w:type="dxa"/>
              <w:right w:w="100" w:type="dxa"/>
            </w:tcMar>
          </w:tcPr>
          <w:p w14:paraId="5BEA4EE6" w14:textId="77777777" w:rsidR="00EC0A10" w:rsidRDefault="00000000">
            <w:pPr>
              <w:widowControl w:val="0"/>
              <w:rPr>
                <w:sz w:val="24"/>
                <w:szCs w:val="24"/>
              </w:rPr>
            </w:pPr>
            <w:r>
              <w:rPr>
                <w:sz w:val="24"/>
                <w:szCs w:val="24"/>
              </w:rPr>
              <w:t>5</w:t>
            </w:r>
          </w:p>
        </w:tc>
        <w:tc>
          <w:tcPr>
            <w:tcW w:w="1095" w:type="dxa"/>
            <w:shd w:val="clear" w:color="auto" w:fill="auto"/>
            <w:tcMar>
              <w:top w:w="100" w:type="dxa"/>
              <w:left w:w="100" w:type="dxa"/>
              <w:bottom w:w="100" w:type="dxa"/>
              <w:right w:w="100" w:type="dxa"/>
            </w:tcMar>
          </w:tcPr>
          <w:p w14:paraId="46E1B8ED" w14:textId="77777777" w:rsidR="00EC0A10" w:rsidRDefault="00000000">
            <w:pPr>
              <w:widowControl w:val="0"/>
              <w:rPr>
                <w:sz w:val="24"/>
                <w:szCs w:val="24"/>
              </w:rPr>
            </w:pPr>
            <w:r>
              <w:rPr>
                <w:sz w:val="24"/>
                <w:szCs w:val="24"/>
              </w:rPr>
              <w:t>3</w:t>
            </w:r>
          </w:p>
        </w:tc>
        <w:tc>
          <w:tcPr>
            <w:tcW w:w="1695" w:type="dxa"/>
            <w:shd w:val="clear" w:color="auto" w:fill="auto"/>
            <w:tcMar>
              <w:top w:w="100" w:type="dxa"/>
              <w:left w:w="100" w:type="dxa"/>
              <w:bottom w:w="100" w:type="dxa"/>
              <w:right w:w="100" w:type="dxa"/>
            </w:tcMar>
          </w:tcPr>
          <w:p w14:paraId="5C804119" w14:textId="77777777" w:rsidR="00EC0A10" w:rsidRDefault="00000000">
            <w:pPr>
              <w:widowControl w:val="0"/>
              <w:rPr>
                <w:sz w:val="24"/>
                <w:szCs w:val="24"/>
              </w:rPr>
            </w:pPr>
            <w:r>
              <w:rPr>
                <w:sz w:val="24"/>
                <w:szCs w:val="24"/>
              </w:rPr>
              <w:t>$550</w:t>
            </w:r>
          </w:p>
        </w:tc>
        <w:tc>
          <w:tcPr>
            <w:tcW w:w="1980" w:type="dxa"/>
            <w:shd w:val="clear" w:color="auto" w:fill="auto"/>
            <w:tcMar>
              <w:top w:w="100" w:type="dxa"/>
              <w:left w:w="100" w:type="dxa"/>
              <w:bottom w:w="100" w:type="dxa"/>
              <w:right w:w="100" w:type="dxa"/>
            </w:tcMar>
          </w:tcPr>
          <w:p w14:paraId="3F4E5697" w14:textId="77777777" w:rsidR="00EC0A10" w:rsidRDefault="00000000">
            <w:pPr>
              <w:widowControl w:val="0"/>
              <w:rPr>
                <w:sz w:val="24"/>
                <w:szCs w:val="24"/>
              </w:rPr>
            </w:pPr>
            <w:r>
              <w:rPr>
                <w:sz w:val="24"/>
                <w:szCs w:val="24"/>
              </w:rPr>
              <w:t>$8,250</w:t>
            </w:r>
          </w:p>
        </w:tc>
        <w:tc>
          <w:tcPr>
            <w:tcW w:w="3060" w:type="dxa"/>
            <w:shd w:val="clear" w:color="auto" w:fill="auto"/>
            <w:tcMar>
              <w:top w:w="100" w:type="dxa"/>
              <w:left w:w="100" w:type="dxa"/>
              <w:bottom w:w="100" w:type="dxa"/>
              <w:right w:w="100" w:type="dxa"/>
            </w:tcMar>
          </w:tcPr>
          <w:p w14:paraId="3B5CB805" w14:textId="77777777" w:rsidR="00EC0A10" w:rsidRDefault="00000000">
            <w:pPr>
              <w:widowControl w:val="0"/>
              <w:rPr>
                <w:sz w:val="24"/>
                <w:szCs w:val="24"/>
              </w:rPr>
            </w:pPr>
            <w:r>
              <w:rPr>
                <w:sz w:val="24"/>
                <w:szCs w:val="24"/>
              </w:rPr>
              <w:t>$2,550</w:t>
            </w:r>
          </w:p>
        </w:tc>
      </w:tr>
      <w:tr w:rsidR="00EC0A10" w14:paraId="0CFD2DB4" w14:textId="77777777">
        <w:trPr>
          <w:tblHeader/>
        </w:trPr>
        <w:tc>
          <w:tcPr>
            <w:tcW w:w="1470" w:type="dxa"/>
            <w:shd w:val="clear" w:color="auto" w:fill="auto"/>
            <w:tcMar>
              <w:top w:w="100" w:type="dxa"/>
              <w:left w:w="100" w:type="dxa"/>
              <w:bottom w:w="100" w:type="dxa"/>
              <w:right w:w="100" w:type="dxa"/>
            </w:tcMar>
          </w:tcPr>
          <w:p w14:paraId="4C51419E" w14:textId="77777777" w:rsidR="00EC0A10" w:rsidRDefault="00000000">
            <w:pPr>
              <w:widowControl w:val="0"/>
              <w:rPr>
                <w:sz w:val="24"/>
                <w:szCs w:val="24"/>
              </w:rPr>
            </w:pPr>
            <w:r>
              <w:rPr>
                <w:sz w:val="24"/>
                <w:szCs w:val="24"/>
              </w:rPr>
              <w:t>15</w:t>
            </w:r>
          </w:p>
        </w:tc>
        <w:tc>
          <w:tcPr>
            <w:tcW w:w="1095" w:type="dxa"/>
            <w:shd w:val="clear" w:color="auto" w:fill="auto"/>
            <w:tcMar>
              <w:top w:w="100" w:type="dxa"/>
              <w:left w:w="100" w:type="dxa"/>
              <w:bottom w:w="100" w:type="dxa"/>
              <w:right w:w="100" w:type="dxa"/>
            </w:tcMar>
          </w:tcPr>
          <w:p w14:paraId="644F1540" w14:textId="77777777" w:rsidR="00EC0A10" w:rsidRDefault="00000000">
            <w:pPr>
              <w:widowControl w:val="0"/>
              <w:rPr>
                <w:sz w:val="24"/>
                <w:szCs w:val="24"/>
              </w:rPr>
            </w:pPr>
            <w:r>
              <w:rPr>
                <w:sz w:val="24"/>
                <w:szCs w:val="24"/>
              </w:rPr>
              <w:t>3</w:t>
            </w:r>
          </w:p>
        </w:tc>
        <w:tc>
          <w:tcPr>
            <w:tcW w:w="1695" w:type="dxa"/>
            <w:shd w:val="clear" w:color="auto" w:fill="auto"/>
            <w:tcMar>
              <w:top w:w="100" w:type="dxa"/>
              <w:left w:w="100" w:type="dxa"/>
              <w:bottom w:w="100" w:type="dxa"/>
              <w:right w:w="100" w:type="dxa"/>
            </w:tcMar>
          </w:tcPr>
          <w:p w14:paraId="48EF23B2" w14:textId="77777777" w:rsidR="00EC0A10" w:rsidRDefault="00000000">
            <w:pPr>
              <w:widowControl w:val="0"/>
              <w:rPr>
                <w:sz w:val="24"/>
                <w:szCs w:val="24"/>
              </w:rPr>
            </w:pPr>
            <w:r>
              <w:rPr>
                <w:sz w:val="24"/>
                <w:szCs w:val="24"/>
              </w:rPr>
              <w:t>$550</w:t>
            </w:r>
          </w:p>
        </w:tc>
        <w:tc>
          <w:tcPr>
            <w:tcW w:w="1980" w:type="dxa"/>
            <w:shd w:val="clear" w:color="auto" w:fill="auto"/>
            <w:tcMar>
              <w:top w:w="100" w:type="dxa"/>
              <w:left w:w="100" w:type="dxa"/>
              <w:bottom w:w="100" w:type="dxa"/>
              <w:right w:w="100" w:type="dxa"/>
            </w:tcMar>
          </w:tcPr>
          <w:p w14:paraId="19394FA3" w14:textId="77777777" w:rsidR="00EC0A10" w:rsidRDefault="00000000">
            <w:pPr>
              <w:widowControl w:val="0"/>
              <w:rPr>
                <w:sz w:val="24"/>
                <w:szCs w:val="24"/>
              </w:rPr>
            </w:pPr>
            <w:r>
              <w:rPr>
                <w:sz w:val="24"/>
                <w:szCs w:val="24"/>
              </w:rPr>
              <w:t>$24,750</w:t>
            </w:r>
          </w:p>
        </w:tc>
        <w:tc>
          <w:tcPr>
            <w:tcW w:w="3060" w:type="dxa"/>
            <w:shd w:val="clear" w:color="auto" w:fill="auto"/>
            <w:tcMar>
              <w:top w:w="100" w:type="dxa"/>
              <w:left w:w="100" w:type="dxa"/>
              <w:bottom w:w="100" w:type="dxa"/>
              <w:right w:w="100" w:type="dxa"/>
            </w:tcMar>
          </w:tcPr>
          <w:p w14:paraId="46B0F03D" w14:textId="77777777" w:rsidR="00EC0A10" w:rsidRDefault="00000000">
            <w:pPr>
              <w:widowControl w:val="0"/>
              <w:rPr>
                <w:sz w:val="24"/>
                <w:szCs w:val="24"/>
              </w:rPr>
            </w:pPr>
            <w:r>
              <w:rPr>
                <w:sz w:val="24"/>
                <w:szCs w:val="24"/>
              </w:rPr>
              <w:t>$7,650</w:t>
            </w:r>
          </w:p>
        </w:tc>
      </w:tr>
      <w:tr w:rsidR="00EC0A10" w14:paraId="1F9985A1" w14:textId="77777777">
        <w:tc>
          <w:tcPr>
            <w:tcW w:w="1470" w:type="dxa"/>
            <w:shd w:val="clear" w:color="auto" w:fill="auto"/>
            <w:tcMar>
              <w:top w:w="100" w:type="dxa"/>
              <w:left w:w="100" w:type="dxa"/>
              <w:bottom w:w="100" w:type="dxa"/>
              <w:right w:w="100" w:type="dxa"/>
            </w:tcMar>
          </w:tcPr>
          <w:p w14:paraId="67CF0830" w14:textId="77777777" w:rsidR="00EC0A10" w:rsidRDefault="00000000">
            <w:pPr>
              <w:widowControl w:val="0"/>
              <w:rPr>
                <w:sz w:val="24"/>
                <w:szCs w:val="24"/>
              </w:rPr>
            </w:pPr>
            <w:r>
              <w:rPr>
                <w:sz w:val="24"/>
                <w:szCs w:val="24"/>
              </w:rPr>
              <w:t>25</w:t>
            </w:r>
          </w:p>
        </w:tc>
        <w:tc>
          <w:tcPr>
            <w:tcW w:w="1095" w:type="dxa"/>
            <w:shd w:val="clear" w:color="auto" w:fill="auto"/>
            <w:tcMar>
              <w:top w:w="100" w:type="dxa"/>
              <w:left w:w="100" w:type="dxa"/>
              <w:bottom w:w="100" w:type="dxa"/>
              <w:right w:w="100" w:type="dxa"/>
            </w:tcMar>
          </w:tcPr>
          <w:p w14:paraId="0C7A0351" w14:textId="77777777" w:rsidR="00EC0A10" w:rsidRDefault="00000000">
            <w:pPr>
              <w:widowControl w:val="0"/>
              <w:rPr>
                <w:sz w:val="24"/>
                <w:szCs w:val="24"/>
              </w:rPr>
            </w:pPr>
            <w:r>
              <w:rPr>
                <w:sz w:val="24"/>
                <w:szCs w:val="24"/>
              </w:rPr>
              <w:t>3</w:t>
            </w:r>
          </w:p>
        </w:tc>
        <w:tc>
          <w:tcPr>
            <w:tcW w:w="1695" w:type="dxa"/>
            <w:shd w:val="clear" w:color="auto" w:fill="auto"/>
            <w:tcMar>
              <w:top w:w="100" w:type="dxa"/>
              <w:left w:w="100" w:type="dxa"/>
              <w:bottom w:w="100" w:type="dxa"/>
              <w:right w:w="100" w:type="dxa"/>
            </w:tcMar>
          </w:tcPr>
          <w:p w14:paraId="3FDDE0CA" w14:textId="77777777" w:rsidR="00EC0A10" w:rsidRDefault="00000000">
            <w:pPr>
              <w:widowControl w:val="0"/>
              <w:rPr>
                <w:sz w:val="24"/>
                <w:szCs w:val="24"/>
              </w:rPr>
            </w:pPr>
            <w:r>
              <w:rPr>
                <w:sz w:val="24"/>
                <w:szCs w:val="24"/>
              </w:rPr>
              <w:t>$550</w:t>
            </w:r>
          </w:p>
        </w:tc>
        <w:tc>
          <w:tcPr>
            <w:tcW w:w="1980" w:type="dxa"/>
            <w:shd w:val="clear" w:color="auto" w:fill="auto"/>
            <w:tcMar>
              <w:top w:w="100" w:type="dxa"/>
              <w:left w:w="100" w:type="dxa"/>
              <w:bottom w:w="100" w:type="dxa"/>
              <w:right w:w="100" w:type="dxa"/>
            </w:tcMar>
          </w:tcPr>
          <w:p w14:paraId="3E057F39" w14:textId="77777777" w:rsidR="00EC0A10" w:rsidRDefault="00000000">
            <w:pPr>
              <w:widowControl w:val="0"/>
              <w:rPr>
                <w:sz w:val="24"/>
                <w:szCs w:val="24"/>
              </w:rPr>
            </w:pPr>
            <w:r>
              <w:rPr>
                <w:sz w:val="24"/>
                <w:szCs w:val="24"/>
              </w:rPr>
              <w:t>$41,250</w:t>
            </w:r>
          </w:p>
        </w:tc>
        <w:tc>
          <w:tcPr>
            <w:tcW w:w="3060" w:type="dxa"/>
            <w:shd w:val="clear" w:color="auto" w:fill="auto"/>
            <w:tcMar>
              <w:top w:w="100" w:type="dxa"/>
              <w:left w:w="100" w:type="dxa"/>
              <w:bottom w:w="100" w:type="dxa"/>
              <w:right w:w="100" w:type="dxa"/>
            </w:tcMar>
          </w:tcPr>
          <w:p w14:paraId="73EE7F60" w14:textId="77777777" w:rsidR="00EC0A10" w:rsidRDefault="00000000">
            <w:pPr>
              <w:widowControl w:val="0"/>
              <w:rPr>
                <w:sz w:val="24"/>
                <w:szCs w:val="24"/>
              </w:rPr>
            </w:pPr>
            <w:r>
              <w:rPr>
                <w:sz w:val="24"/>
                <w:szCs w:val="24"/>
              </w:rPr>
              <w:t>$12,750</w:t>
            </w:r>
          </w:p>
        </w:tc>
      </w:tr>
      <w:tr w:rsidR="00EC0A10" w14:paraId="7D0F222D" w14:textId="77777777">
        <w:tc>
          <w:tcPr>
            <w:tcW w:w="1470" w:type="dxa"/>
            <w:shd w:val="clear" w:color="auto" w:fill="auto"/>
            <w:tcMar>
              <w:top w:w="100" w:type="dxa"/>
              <w:left w:w="100" w:type="dxa"/>
              <w:bottom w:w="100" w:type="dxa"/>
              <w:right w:w="100" w:type="dxa"/>
            </w:tcMar>
          </w:tcPr>
          <w:p w14:paraId="5FA83FC9" w14:textId="77777777" w:rsidR="00EC0A10" w:rsidRDefault="00000000">
            <w:pPr>
              <w:widowControl w:val="0"/>
              <w:rPr>
                <w:sz w:val="24"/>
                <w:szCs w:val="24"/>
              </w:rPr>
            </w:pPr>
            <w:r>
              <w:rPr>
                <w:sz w:val="24"/>
                <w:szCs w:val="24"/>
              </w:rPr>
              <w:t>35</w:t>
            </w:r>
          </w:p>
        </w:tc>
        <w:tc>
          <w:tcPr>
            <w:tcW w:w="1095" w:type="dxa"/>
            <w:shd w:val="clear" w:color="auto" w:fill="auto"/>
            <w:tcMar>
              <w:top w:w="100" w:type="dxa"/>
              <w:left w:w="100" w:type="dxa"/>
              <w:bottom w:w="100" w:type="dxa"/>
              <w:right w:w="100" w:type="dxa"/>
            </w:tcMar>
          </w:tcPr>
          <w:p w14:paraId="54A3FB1A" w14:textId="77777777" w:rsidR="00EC0A10" w:rsidRDefault="00000000">
            <w:pPr>
              <w:widowControl w:val="0"/>
              <w:rPr>
                <w:sz w:val="24"/>
                <w:szCs w:val="24"/>
              </w:rPr>
            </w:pPr>
            <w:r>
              <w:rPr>
                <w:sz w:val="24"/>
                <w:szCs w:val="24"/>
              </w:rPr>
              <w:t>3</w:t>
            </w:r>
          </w:p>
        </w:tc>
        <w:tc>
          <w:tcPr>
            <w:tcW w:w="1695" w:type="dxa"/>
            <w:shd w:val="clear" w:color="auto" w:fill="auto"/>
            <w:tcMar>
              <w:top w:w="100" w:type="dxa"/>
              <w:left w:w="100" w:type="dxa"/>
              <w:bottom w:w="100" w:type="dxa"/>
              <w:right w:w="100" w:type="dxa"/>
            </w:tcMar>
          </w:tcPr>
          <w:p w14:paraId="31E502AA" w14:textId="77777777" w:rsidR="00EC0A10" w:rsidRDefault="00000000">
            <w:pPr>
              <w:widowControl w:val="0"/>
              <w:rPr>
                <w:sz w:val="24"/>
                <w:szCs w:val="24"/>
              </w:rPr>
            </w:pPr>
            <w:r>
              <w:rPr>
                <w:sz w:val="24"/>
                <w:szCs w:val="24"/>
              </w:rPr>
              <w:t>$550</w:t>
            </w:r>
          </w:p>
        </w:tc>
        <w:tc>
          <w:tcPr>
            <w:tcW w:w="1980" w:type="dxa"/>
            <w:shd w:val="clear" w:color="auto" w:fill="auto"/>
            <w:tcMar>
              <w:top w:w="100" w:type="dxa"/>
              <w:left w:w="100" w:type="dxa"/>
              <w:bottom w:w="100" w:type="dxa"/>
              <w:right w:w="100" w:type="dxa"/>
            </w:tcMar>
          </w:tcPr>
          <w:p w14:paraId="39A41504" w14:textId="77777777" w:rsidR="00EC0A10" w:rsidRDefault="00000000">
            <w:pPr>
              <w:widowControl w:val="0"/>
              <w:rPr>
                <w:sz w:val="24"/>
                <w:szCs w:val="24"/>
              </w:rPr>
            </w:pPr>
            <w:r>
              <w:rPr>
                <w:sz w:val="24"/>
                <w:szCs w:val="24"/>
              </w:rPr>
              <w:t>$57,750</w:t>
            </w:r>
          </w:p>
        </w:tc>
        <w:tc>
          <w:tcPr>
            <w:tcW w:w="3060" w:type="dxa"/>
            <w:shd w:val="clear" w:color="auto" w:fill="auto"/>
            <w:tcMar>
              <w:top w:w="100" w:type="dxa"/>
              <w:left w:w="100" w:type="dxa"/>
              <w:bottom w:w="100" w:type="dxa"/>
              <w:right w:w="100" w:type="dxa"/>
            </w:tcMar>
          </w:tcPr>
          <w:p w14:paraId="66C70B73" w14:textId="77777777" w:rsidR="00EC0A10" w:rsidRDefault="00000000">
            <w:pPr>
              <w:widowControl w:val="0"/>
              <w:rPr>
                <w:sz w:val="24"/>
                <w:szCs w:val="24"/>
              </w:rPr>
            </w:pPr>
            <w:r>
              <w:rPr>
                <w:sz w:val="24"/>
                <w:szCs w:val="24"/>
              </w:rPr>
              <w:t>$17,850</w:t>
            </w:r>
          </w:p>
        </w:tc>
      </w:tr>
    </w:tbl>
    <w:p w14:paraId="489F0BA9" w14:textId="77777777" w:rsidR="00EC0A10" w:rsidRDefault="00EC0A10">
      <w:pPr>
        <w:tabs>
          <w:tab w:val="left" w:pos="7180"/>
        </w:tabs>
        <w:rPr>
          <w:sz w:val="24"/>
          <w:szCs w:val="24"/>
        </w:rPr>
      </w:pPr>
    </w:p>
    <w:p w14:paraId="188F4137" w14:textId="77777777" w:rsidR="00EC0A10" w:rsidRDefault="00000000">
      <w:pPr>
        <w:tabs>
          <w:tab w:val="left" w:pos="7180"/>
        </w:tabs>
        <w:rPr>
          <w:sz w:val="24"/>
          <w:szCs w:val="24"/>
        </w:rPr>
      </w:pPr>
      <w:r>
        <w:rPr>
          <w:sz w:val="24"/>
          <w:szCs w:val="24"/>
        </w:rPr>
        <w:t>Model 2</w:t>
      </w:r>
    </w:p>
    <w:p w14:paraId="4AC5A742" w14:textId="77777777" w:rsidR="00EC0A10" w:rsidRDefault="00000000">
      <w:pPr>
        <w:numPr>
          <w:ilvl w:val="0"/>
          <w:numId w:val="2"/>
        </w:numPr>
        <w:tabs>
          <w:tab w:val="left" w:pos="7180"/>
        </w:tabs>
        <w:rPr>
          <w:sz w:val="24"/>
          <w:szCs w:val="24"/>
        </w:rPr>
      </w:pPr>
      <w:r>
        <w:rPr>
          <w:i/>
          <w:sz w:val="24"/>
          <w:szCs w:val="24"/>
          <w:u w:val="single"/>
        </w:rPr>
        <w:t xml:space="preserve">If an SoE instructor teaches a specific (101) course section </w:t>
      </w:r>
      <w:r>
        <w:rPr>
          <w:b/>
          <w:i/>
          <w:sz w:val="24"/>
          <w:szCs w:val="24"/>
          <w:u w:val="single"/>
        </w:rPr>
        <w:t xml:space="preserve">exclusively </w:t>
      </w:r>
      <w:r>
        <w:rPr>
          <w:i/>
          <w:sz w:val="24"/>
          <w:szCs w:val="24"/>
          <w:u w:val="single"/>
        </w:rPr>
        <w:t>for students from another SoE department’s Fund 131 program</w:t>
      </w:r>
      <w:r>
        <w:rPr>
          <w:i/>
          <w:sz w:val="24"/>
          <w:szCs w:val="24"/>
        </w:rPr>
        <w:t xml:space="preserve">, </w:t>
      </w:r>
      <w:r>
        <w:rPr>
          <w:sz w:val="24"/>
          <w:szCs w:val="24"/>
        </w:rPr>
        <w:t xml:space="preserve">then the 131 </w:t>
      </w:r>
      <w:proofErr w:type="gramStart"/>
      <w:r>
        <w:rPr>
          <w:sz w:val="24"/>
          <w:szCs w:val="24"/>
        </w:rPr>
        <w:t>program</w:t>
      </w:r>
      <w:proofErr w:type="gramEnd"/>
      <w:r>
        <w:rPr>
          <w:sz w:val="24"/>
          <w:szCs w:val="24"/>
        </w:rPr>
        <w:t xml:space="preserve"> must compensate the instructor’s home department at the rate of 12.5% of the instructor’s nine-month salary/fringe, plus the cost of any Teaching Assistants’ salary/fringe. The instructor’s home department will use the financial transfer as “salary savings.” </w:t>
      </w:r>
    </w:p>
    <w:p w14:paraId="1BAE655F" w14:textId="77777777" w:rsidR="00EC0A10" w:rsidRDefault="00EC0A10">
      <w:pPr>
        <w:tabs>
          <w:tab w:val="left" w:pos="7180"/>
        </w:tabs>
        <w:rPr>
          <w:sz w:val="24"/>
          <w:szCs w:val="24"/>
        </w:rPr>
      </w:pPr>
    </w:p>
    <w:p w14:paraId="0C73B18D" w14:textId="77777777" w:rsidR="00EC0A10" w:rsidRDefault="00000000">
      <w:pPr>
        <w:tabs>
          <w:tab w:val="left" w:pos="7180"/>
        </w:tabs>
        <w:rPr>
          <w:b/>
          <w:sz w:val="24"/>
          <w:szCs w:val="24"/>
        </w:rPr>
      </w:pPr>
      <w:r>
        <w:rPr>
          <w:b/>
          <w:sz w:val="24"/>
          <w:szCs w:val="24"/>
        </w:rPr>
        <w:t xml:space="preserve">B. </w:t>
      </w:r>
      <w:r>
        <w:rPr>
          <w:b/>
          <w:i/>
          <w:sz w:val="24"/>
          <w:szCs w:val="24"/>
        </w:rPr>
        <w:t>When a course is taught during the summer:</w:t>
      </w:r>
    </w:p>
    <w:p w14:paraId="4D6F1F00" w14:textId="77777777" w:rsidR="00EC0A10" w:rsidRDefault="00000000">
      <w:pPr>
        <w:tabs>
          <w:tab w:val="left" w:pos="7180"/>
        </w:tabs>
        <w:spacing w:before="240" w:after="240"/>
        <w:ind w:left="720"/>
        <w:rPr>
          <w:sz w:val="24"/>
          <w:szCs w:val="24"/>
        </w:rPr>
      </w:pPr>
      <w:r>
        <w:rPr>
          <w:i/>
          <w:sz w:val="24"/>
          <w:szCs w:val="24"/>
          <w:u w:val="single"/>
        </w:rPr>
        <w:t xml:space="preserve">If an SoE instructor teaches any (101 or 131) course sections that </w:t>
      </w:r>
      <w:r>
        <w:rPr>
          <w:b/>
          <w:i/>
          <w:sz w:val="24"/>
          <w:szCs w:val="24"/>
          <w:u w:val="single"/>
        </w:rPr>
        <w:t>include</w:t>
      </w:r>
      <w:r>
        <w:rPr>
          <w:i/>
          <w:sz w:val="24"/>
          <w:szCs w:val="24"/>
          <w:u w:val="single"/>
        </w:rPr>
        <w:t xml:space="preserve"> students from another SoE department’s Fund 131 program</w:t>
      </w:r>
      <w:r>
        <w:rPr>
          <w:sz w:val="24"/>
          <w:szCs w:val="24"/>
        </w:rPr>
        <w:t xml:space="preserve">, then the Fund 131 program must transfer funds into the instructor’s home department at a standard rate of $550/credit for each student from the Fund 131 program. </w:t>
      </w:r>
    </w:p>
    <w:p w14:paraId="3B05265B" w14:textId="77777777" w:rsidR="00EC0A10" w:rsidRDefault="00000000">
      <w:pPr>
        <w:tabs>
          <w:tab w:val="left" w:pos="7180"/>
        </w:tabs>
        <w:spacing w:before="240" w:after="240"/>
        <w:ind w:left="720"/>
        <w:rPr>
          <w:b/>
          <w:sz w:val="24"/>
          <w:szCs w:val="24"/>
        </w:rPr>
      </w:pPr>
      <w:r>
        <w:rPr>
          <w:i/>
          <w:sz w:val="24"/>
          <w:szCs w:val="24"/>
          <w:u w:val="single"/>
        </w:rPr>
        <w:t xml:space="preserve">If an SoE instructor teaches a specific (101) course section </w:t>
      </w:r>
      <w:r>
        <w:rPr>
          <w:b/>
          <w:i/>
          <w:sz w:val="24"/>
          <w:szCs w:val="24"/>
          <w:u w:val="single"/>
        </w:rPr>
        <w:t>exclusively</w:t>
      </w:r>
      <w:r>
        <w:rPr>
          <w:i/>
          <w:sz w:val="24"/>
          <w:szCs w:val="24"/>
          <w:u w:val="single"/>
        </w:rPr>
        <w:t xml:space="preserve"> for students from another SoE department’s Fund 131 program</w:t>
      </w:r>
      <w:r>
        <w:rPr>
          <w:sz w:val="24"/>
          <w:szCs w:val="24"/>
        </w:rPr>
        <w:t xml:space="preserve">, then the 131 </w:t>
      </w:r>
      <w:proofErr w:type="gramStart"/>
      <w:r>
        <w:rPr>
          <w:sz w:val="24"/>
          <w:szCs w:val="24"/>
        </w:rPr>
        <w:t>program</w:t>
      </w:r>
      <w:proofErr w:type="gramEnd"/>
      <w:r>
        <w:rPr>
          <w:sz w:val="24"/>
          <w:szCs w:val="24"/>
        </w:rPr>
        <w:t xml:space="preserve"> must compensate the instructor’s home department at the rate of 1/9 of the instructor’s nine-month salary/fringe, plus the cost of any Teaching Assistants’ salary/fringe.</w:t>
      </w:r>
    </w:p>
    <w:p w14:paraId="4F9D455A" w14:textId="77777777" w:rsidR="00EC0A10" w:rsidRDefault="00000000">
      <w:pPr>
        <w:tabs>
          <w:tab w:val="left" w:pos="7180"/>
        </w:tabs>
        <w:rPr>
          <w:sz w:val="24"/>
          <w:szCs w:val="24"/>
        </w:rPr>
      </w:pPr>
      <w:r>
        <w:rPr>
          <w:sz w:val="24"/>
          <w:szCs w:val="24"/>
        </w:rPr>
        <w:t xml:space="preserve">The chairs of </w:t>
      </w:r>
      <w:r>
        <w:rPr>
          <w:sz w:val="24"/>
          <w:szCs w:val="24"/>
          <w:u w:val="single"/>
        </w:rPr>
        <w:t>both</w:t>
      </w:r>
      <w:r>
        <w:rPr>
          <w:sz w:val="24"/>
          <w:szCs w:val="24"/>
        </w:rPr>
        <w:t xml:space="preserve"> departments must approve such agreements in writing (email is OK) before the course(s) in question are put into the course timetable and must share a copy of their agree-</w:t>
      </w:r>
      <w:proofErr w:type="spellStart"/>
      <w:r>
        <w:rPr>
          <w:sz w:val="24"/>
          <w:szCs w:val="24"/>
        </w:rPr>
        <w:t>ment</w:t>
      </w:r>
      <w:proofErr w:type="spellEnd"/>
      <w:r>
        <w:rPr>
          <w:sz w:val="24"/>
          <w:szCs w:val="24"/>
        </w:rPr>
        <w:t xml:space="preserve"> with both the Chief Financial Officer and the Senior Associate Dean. </w:t>
      </w:r>
    </w:p>
    <w:p w14:paraId="5F7A74CC" w14:textId="77777777" w:rsidR="00EC0A10" w:rsidRDefault="00EC0A10">
      <w:pPr>
        <w:tabs>
          <w:tab w:val="left" w:pos="7180"/>
        </w:tabs>
        <w:rPr>
          <w:sz w:val="24"/>
          <w:szCs w:val="24"/>
        </w:rPr>
      </w:pPr>
    </w:p>
    <w:p w14:paraId="77DF8D8C" w14:textId="77777777" w:rsidR="00EC0A10" w:rsidRDefault="00000000">
      <w:pPr>
        <w:tabs>
          <w:tab w:val="left" w:pos="7180"/>
        </w:tabs>
        <w:rPr>
          <w:sz w:val="24"/>
          <w:szCs w:val="24"/>
        </w:rPr>
      </w:pPr>
      <w:r>
        <w:rPr>
          <w:sz w:val="24"/>
          <w:szCs w:val="24"/>
        </w:rPr>
        <w:t xml:space="preserve"> </w:t>
      </w:r>
    </w:p>
    <w:p w14:paraId="56463316" w14:textId="77777777" w:rsidR="00EC0A10" w:rsidRDefault="00EC0A10">
      <w:pPr>
        <w:tabs>
          <w:tab w:val="left" w:pos="7180"/>
        </w:tabs>
        <w:rPr>
          <w:sz w:val="24"/>
          <w:szCs w:val="24"/>
        </w:rPr>
      </w:pPr>
    </w:p>
    <w:p w14:paraId="5E22BD50" w14:textId="77777777" w:rsidR="00EC0A10" w:rsidRDefault="00000000">
      <w:pPr>
        <w:tabs>
          <w:tab w:val="left" w:pos="7180"/>
        </w:tabs>
        <w:rPr>
          <w:sz w:val="24"/>
          <w:szCs w:val="24"/>
          <w:u w:val="single"/>
        </w:rPr>
      </w:pPr>
      <w:r>
        <w:rPr>
          <w:sz w:val="24"/>
          <w:szCs w:val="24"/>
          <w:u w:val="single"/>
        </w:rPr>
        <w:lastRenderedPageBreak/>
        <w:t xml:space="preserve">Implementation: </w:t>
      </w:r>
    </w:p>
    <w:p w14:paraId="75C59C99" w14:textId="77777777" w:rsidR="00EC0A10" w:rsidRDefault="00EC0A10">
      <w:pPr>
        <w:tabs>
          <w:tab w:val="left" w:pos="7180"/>
        </w:tabs>
        <w:rPr>
          <w:sz w:val="24"/>
          <w:szCs w:val="24"/>
        </w:rPr>
      </w:pPr>
    </w:p>
    <w:p w14:paraId="3915810F" w14:textId="77777777" w:rsidR="00EC0A10" w:rsidRDefault="00000000">
      <w:pPr>
        <w:tabs>
          <w:tab w:val="left" w:pos="7180"/>
        </w:tabs>
        <w:rPr>
          <w:sz w:val="24"/>
          <w:szCs w:val="24"/>
        </w:rPr>
      </w:pPr>
      <w:r>
        <w:rPr>
          <w:sz w:val="24"/>
          <w:szCs w:val="24"/>
        </w:rPr>
        <w:t xml:space="preserve">Before the start of each term, departments must let the Business Office know which course sections, if any, are exclusively for students from another department’s Fund 131 program—and therefore use Model 2. All other sections with 131 students from another department will use Model 1.  </w:t>
      </w:r>
    </w:p>
    <w:p w14:paraId="0904F073" w14:textId="77777777" w:rsidR="00EC0A10" w:rsidRDefault="00000000">
      <w:pPr>
        <w:tabs>
          <w:tab w:val="left" w:pos="7180"/>
        </w:tabs>
        <w:rPr>
          <w:sz w:val="24"/>
          <w:szCs w:val="24"/>
        </w:rPr>
      </w:pPr>
      <w:r>
        <w:rPr>
          <w:sz w:val="24"/>
          <w:szCs w:val="24"/>
        </w:rPr>
        <w:t xml:space="preserve"> </w:t>
      </w:r>
    </w:p>
    <w:p w14:paraId="1D8910A5" w14:textId="77777777" w:rsidR="00EC0A10" w:rsidRDefault="00000000">
      <w:pPr>
        <w:tabs>
          <w:tab w:val="left" w:pos="7180"/>
        </w:tabs>
        <w:rPr>
          <w:sz w:val="24"/>
          <w:szCs w:val="24"/>
        </w:rPr>
      </w:pPr>
      <w:r>
        <w:rPr>
          <w:sz w:val="24"/>
          <w:szCs w:val="24"/>
        </w:rPr>
        <w:t xml:space="preserve">At the end of each term, the Business Office will match 131 students with their course/section enrollments and make the requisite inter-departmental fund transfers, as follows: </w:t>
      </w:r>
    </w:p>
    <w:p w14:paraId="2E504B81" w14:textId="77777777" w:rsidR="00EC0A10" w:rsidRDefault="00000000">
      <w:pPr>
        <w:numPr>
          <w:ilvl w:val="0"/>
          <w:numId w:val="1"/>
        </w:numPr>
        <w:tabs>
          <w:tab w:val="left" w:pos="7180"/>
        </w:tabs>
        <w:rPr>
          <w:sz w:val="24"/>
          <w:szCs w:val="24"/>
        </w:rPr>
      </w:pPr>
      <w:r>
        <w:rPr>
          <w:sz w:val="24"/>
          <w:szCs w:val="24"/>
        </w:rPr>
        <w:t xml:space="preserve">For Model 1 (blended section(s)), the Business Office will run a report to validate all credits taught to students from 131 programs and transfer funds to the instructing department at $550/credit. </w:t>
      </w:r>
    </w:p>
    <w:p w14:paraId="596D6B3A" w14:textId="77777777" w:rsidR="00EC0A10" w:rsidRDefault="00000000">
      <w:pPr>
        <w:numPr>
          <w:ilvl w:val="0"/>
          <w:numId w:val="1"/>
        </w:numPr>
        <w:tabs>
          <w:tab w:val="left" w:pos="7180"/>
        </w:tabs>
        <w:rPr>
          <w:sz w:val="24"/>
          <w:szCs w:val="24"/>
        </w:rPr>
      </w:pPr>
      <w:r>
        <w:rPr>
          <w:sz w:val="24"/>
          <w:szCs w:val="24"/>
        </w:rPr>
        <w:t>For Model 2 (exclusive section(s)), the instructor’s salary costs (12.5% of nine-month salary/fringe) as well as the cost of any Teaching Assistants’ salary/fringe will be charged directly to the Fund 131 program (the instructors’ payroll funding should be set up at the start of the term).</w:t>
      </w:r>
    </w:p>
    <w:p w14:paraId="55B78854" w14:textId="77777777" w:rsidR="00EC0A10" w:rsidRDefault="00EC0A10">
      <w:pPr>
        <w:tabs>
          <w:tab w:val="left" w:pos="7180"/>
        </w:tabs>
        <w:rPr>
          <w:sz w:val="24"/>
          <w:szCs w:val="24"/>
        </w:rPr>
      </w:pPr>
    </w:p>
    <w:p w14:paraId="7CF5ECCF" w14:textId="77777777" w:rsidR="00EC0A10" w:rsidRDefault="00000000">
      <w:pPr>
        <w:tabs>
          <w:tab w:val="left" w:pos="7180"/>
        </w:tabs>
        <w:rPr>
          <w:sz w:val="24"/>
          <w:szCs w:val="24"/>
        </w:rPr>
      </w:pPr>
      <w:r>
        <w:rPr>
          <w:b/>
          <w:sz w:val="24"/>
          <w:szCs w:val="24"/>
        </w:rPr>
        <w:t xml:space="preserve">NOTE: </w:t>
      </w:r>
      <w:r>
        <w:rPr>
          <w:sz w:val="24"/>
          <w:szCs w:val="24"/>
        </w:rPr>
        <w:t xml:space="preserve">This policy applies only to </w:t>
      </w:r>
      <w:r>
        <w:rPr>
          <w:sz w:val="24"/>
          <w:szCs w:val="24"/>
          <w:u w:val="single"/>
        </w:rPr>
        <w:t>internal</w:t>
      </w:r>
      <w:r>
        <w:rPr>
          <w:sz w:val="24"/>
          <w:szCs w:val="24"/>
        </w:rPr>
        <w:t xml:space="preserve"> cost-/revenue-sharing for Fund 131 course instruction between departments in the School of Education. Cross-school/college arrangements require specific Memoranda of Agreement (MOA) between agreeing departments. Absent an MOA, a flat rate of $600/credit is used to compensate the department providing instruction to Fund 131 program students.</w:t>
      </w:r>
    </w:p>
    <w:p w14:paraId="018AA96E" w14:textId="77777777" w:rsidR="00EC0A10" w:rsidRDefault="00000000">
      <w:pPr>
        <w:pStyle w:val="Heading3"/>
      </w:pPr>
      <w:r>
        <w:t>Related UW–Madison Policies</w:t>
      </w:r>
    </w:p>
    <w:p w14:paraId="3F92878D" w14:textId="77777777" w:rsidR="00EC0A10" w:rsidRDefault="00000000">
      <w:pPr>
        <w:rPr>
          <w:color w:val="808080"/>
        </w:rPr>
      </w:pPr>
      <w:r>
        <w:rPr>
          <w:color w:val="808080"/>
        </w:rPr>
        <w:t>List and provide the URL for any other UW–Madison policies that are closely related to the policy itself and may need to be known to users of the policy.</w:t>
      </w:r>
      <w:r>
        <w:rPr>
          <w:i/>
          <w:color w:val="4472C4"/>
        </w:rPr>
        <w:t xml:space="preserve"> (optional)</w:t>
      </w:r>
    </w:p>
    <w:p w14:paraId="7366F49A" w14:textId="77777777" w:rsidR="00EC0A10" w:rsidRDefault="00EC0A10">
      <w:pPr>
        <w:rPr>
          <w:sz w:val="24"/>
          <w:szCs w:val="24"/>
        </w:rPr>
      </w:pPr>
    </w:p>
    <w:p w14:paraId="4FC2AF15" w14:textId="77777777" w:rsidR="00EC0A10" w:rsidRDefault="00000000">
      <w:pPr>
        <w:pStyle w:val="Heading3"/>
      </w:pPr>
      <w:r>
        <w:t>Related UW–Madison Documents, Web Pages, or Other Resources</w:t>
      </w:r>
    </w:p>
    <w:p w14:paraId="7AC38B46" w14:textId="77777777" w:rsidR="00EC0A10" w:rsidRDefault="00000000">
      <w:pPr>
        <w:keepNext/>
        <w:keepLines/>
        <w:rPr>
          <w:b/>
          <w:sz w:val="28"/>
          <w:szCs w:val="28"/>
        </w:rPr>
      </w:pPr>
      <w:r>
        <w:rPr>
          <w:color w:val="808080"/>
        </w:rPr>
        <w:t>List and provide the link (for a PDF, Word document, etc.) or URL for any related</w:t>
      </w:r>
      <w:r>
        <w:t xml:space="preserve"> </w:t>
      </w:r>
      <w:r>
        <w:rPr>
          <w:color w:val="808080"/>
        </w:rPr>
        <w:t xml:space="preserve">UW–Madison documents, web pages, or other resources that provide relevant information and may be necessary to ensure compliance with the policy. </w:t>
      </w:r>
      <w:r>
        <w:rPr>
          <w:i/>
          <w:color w:val="4472C4"/>
        </w:rPr>
        <w:t>(optional)</w:t>
      </w:r>
    </w:p>
    <w:p w14:paraId="3AC2E3AE" w14:textId="77777777" w:rsidR="00EC0A10" w:rsidRDefault="00000000">
      <w:pPr>
        <w:pStyle w:val="Heading3"/>
      </w:pPr>
      <w:r>
        <w:rPr>
          <w:sz w:val="24"/>
          <w:szCs w:val="24"/>
        </w:rPr>
        <w:br/>
      </w:r>
      <w:r>
        <w:t>External References</w:t>
      </w:r>
    </w:p>
    <w:p w14:paraId="61A56FBD" w14:textId="77777777" w:rsidR="00EC0A10" w:rsidRDefault="00000000">
      <w:r>
        <w:rPr>
          <w:color w:val="808080"/>
        </w:rPr>
        <w:t xml:space="preserve">List and provide the URL for any federal/state laws or regulations or any Board of Regents or UW System policies that mandate, authorize, or otherwise affect this policy. </w:t>
      </w:r>
      <w:r>
        <w:rPr>
          <w:i/>
          <w:color w:val="4472C4"/>
        </w:rPr>
        <w:t>(optional)</w:t>
      </w:r>
    </w:p>
    <w:p w14:paraId="22BC8439" w14:textId="77777777" w:rsidR="00EC0A10" w:rsidRDefault="00000000">
      <w:pPr>
        <w:spacing w:after="160" w:line="259" w:lineRule="auto"/>
      </w:pPr>
      <w:r>
        <w:br w:type="page"/>
      </w:r>
      <w:r>
        <w:rPr>
          <w:b/>
          <w:sz w:val="28"/>
          <w:szCs w:val="28"/>
        </w:rPr>
        <w:lastRenderedPageBreak/>
        <w:t>Policy Administration</w:t>
      </w:r>
    </w:p>
    <w:p w14:paraId="35293B06" w14:textId="77777777" w:rsidR="00EC0A10" w:rsidRDefault="00000000">
      <w:pPr>
        <w:spacing w:after="60"/>
        <w:rPr>
          <w:b/>
        </w:rPr>
      </w:pPr>
      <w:r>
        <w:rPr>
          <w:b/>
        </w:rPr>
        <w:t>Approval Authority</w:t>
      </w:r>
    </w:p>
    <w:p w14:paraId="09CA377D" w14:textId="77777777" w:rsidR="00EC0A10" w:rsidRDefault="00000000">
      <w:r>
        <w:t>School of Education Dean</w:t>
      </w:r>
    </w:p>
    <w:p w14:paraId="2DBF75E0" w14:textId="77777777" w:rsidR="00EC0A10" w:rsidRDefault="00EC0A10"/>
    <w:p w14:paraId="2519E672" w14:textId="77777777" w:rsidR="00EC0A10" w:rsidRDefault="00000000">
      <w:pPr>
        <w:spacing w:after="60"/>
        <w:rPr>
          <w:b/>
        </w:rPr>
      </w:pPr>
      <w:r>
        <w:rPr>
          <w:b/>
        </w:rPr>
        <w:t>Policy Manager</w:t>
      </w:r>
    </w:p>
    <w:p w14:paraId="6DAA759C" w14:textId="77777777" w:rsidR="00EC0A10" w:rsidRDefault="00000000">
      <w:r>
        <w:t>School of Education Senior Associate Dean for Academic Programs</w:t>
      </w:r>
    </w:p>
    <w:p w14:paraId="3F6EC57A" w14:textId="77777777" w:rsidR="00EC0A10" w:rsidRDefault="00EC0A10"/>
    <w:p w14:paraId="179AB110" w14:textId="77777777" w:rsidR="00EC0A10" w:rsidRDefault="00000000">
      <w:pPr>
        <w:spacing w:after="60"/>
        <w:rPr>
          <w:b/>
        </w:rPr>
      </w:pPr>
      <w:r>
        <w:rPr>
          <w:b/>
        </w:rPr>
        <w:t>Policy Contact(s)</w:t>
      </w:r>
    </w:p>
    <w:p w14:paraId="24878131" w14:textId="77777777" w:rsidR="00EC0A10" w:rsidRDefault="00EC0A10">
      <w:pPr>
        <w:rPr>
          <w:color w:val="808080"/>
        </w:rPr>
      </w:pPr>
    </w:p>
    <w:tbl>
      <w:tblPr>
        <w:tblStyle w:val="a3"/>
        <w:tblW w:w="10788" w:type="dxa"/>
        <w:tblBorders>
          <w:top w:val="nil"/>
          <w:left w:val="nil"/>
          <w:bottom w:val="nil"/>
          <w:right w:val="nil"/>
          <w:insideH w:val="nil"/>
          <w:insideV w:val="nil"/>
        </w:tblBorders>
        <w:tblLayout w:type="fixed"/>
        <w:tblLook w:val="0400" w:firstRow="0" w:lastRow="0" w:firstColumn="0" w:lastColumn="0" w:noHBand="0" w:noVBand="1"/>
      </w:tblPr>
      <w:tblGrid>
        <w:gridCol w:w="3596"/>
        <w:gridCol w:w="3596"/>
        <w:gridCol w:w="3596"/>
      </w:tblGrid>
      <w:tr w:rsidR="00EC0A10" w14:paraId="16D49C96" w14:textId="77777777">
        <w:trPr>
          <w:trHeight w:val="473"/>
        </w:trPr>
        <w:tc>
          <w:tcPr>
            <w:tcW w:w="3596" w:type="dxa"/>
          </w:tcPr>
          <w:p w14:paraId="7D73E820" w14:textId="77777777" w:rsidR="00EC0A10" w:rsidRDefault="00000000">
            <w:pPr>
              <w:spacing w:after="60"/>
            </w:pPr>
            <w:r>
              <w:t>School of Education Executive Assistant for Dean’s Office Staff</w:t>
            </w:r>
          </w:p>
        </w:tc>
        <w:tc>
          <w:tcPr>
            <w:tcW w:w="3596" w:type="dxa"/>
          </w:tcPr>
          <w:p w14:paraId="629CFDB9" w14:textId="77777777" w:rsidR="00EC0A10" w:rsidRDefault="00000000">
            <w:pPr>
              <w:spacing w:after="60"/>
              <w:rPr>
                <w:b/>
              </w:rPr>
            </w:pPr>
            <w:r>
              <w:rPr>
                <w:color w:val="808080"/>
              </w:rPr>
              <w:t xml:space="preserve">Policy contact’s position title. </w:t>
            </w:r>
          </w:p>
        </w:tc>
        <w:tc>
          <w:tcPr>
            <w:tcW w:w="3596" w:type="dxa"/>
          </w:tcPr>
          <w:p w14:paraId="3BBE83D7" w14:textId="77777777" w:rsidR="00EC0A10" w:rsidRDefault="00000000">
            <w:pPr>
              <w:spacing w:after="60"/>
              <w:rPr>
                <w:b/>
              </w:rPr>
            </w:pPr>
            <w:r>
              <w:rPr>
                <w:color w:val="808080"/>
              </w:rPr>
              <w:t xml:space="preserve">Policy contact’s position title. </w:t>
            </w:r>
          </w:p>
        </w:tc>
      </w:tr>
      <w:tr w:rsidR="00EC0A10" w14:paraId="5580CA75" w14:textId="77777777">
        <w:trPr>
          <w:trHeight w:val="470"/>
        </w:trPr>
        <w:tc>
          <w:tcPr>
            <w:tcW w:w="3596" w:type="dxa"/>
          </w:tcPr>
          <w:p w14:paraId="7587D2EC" w14:textId="77777777" w:rsidR="00EC0A10" w:rsidRDefault="00000000">
            <w:pPr>
              <w:spacing w:after="60"/>
            </w:pPr>
            <w:r>
              <w:t xml:space="preserve">Kevin Hage </w:t>
            </w:r>
          </w:p>
        </w:tc>
        <w:tc>
          <w:tcPr>
            <w:tcW w:w="3596" w:type="dxa"/>
          </w:tcPr>
          <w:p w14:paraId="76B39CEB" w14:textId="77777777" w:rsidR="00EC0A10" w:rsidRDefault="00000000">
            <w:pPr>
              <w:spacing w:after="60"/>
              <w:rPr>
                <w:b/>
              </w:rPr>
            </w:pPr>
            <w:r>
              <w:rPr>
                <w:color w:val="808080"/>
              </w:rPr>
              <w:t>Policy contact’s full name.</w:t>
            </w:r>
          </w:p>
        </w:tc>
        <w:tc>
          <w:tcPr>
            <w:tcW w:w="3596" w:type="dxa"/>
          </w:tcPr>
          <w:p w14:paraId="6397E6DE" w14:textId="77777777" w:rsidR="00EC0A10" w:rsidRDefault="00000000">
            <w:pPr>
              <w:spacing w:after="60"/>
              <w:rPr>
                <w:b/>
              </w:rPr>
            </w:pPr>
            <w:r>
              <w:rPr>
                <w:color w:val="808080"/>
              </w:rPr>
              <w:t>Policy contact’s full name.</w:t>
            </w:r>
          </w:p>
        </w:tc>
      </w:tr>
      <w:tr w:rsidR="00EC0A10" w14:paraId="1537EF5A" w14:textId="77777777">
        <w:trPr>
          <w:trHeight w:val="470"/>
        </w:trPr>
        <w:tc>
          <w:tcPr>
            <w:tcW w:w="3596" w:type="dxa"/>
          </w:tcPr>
          <w:p w14:paraId="48E3D55A" w14:textId="77777777" w:rsidR="00EC0A10" w:rsidRDefault="00000000">
            <w:pPr>
              <w:spacing w:after="60"/>
            </w:pPr>
            <w:r>
              <w:t>kjhage@wisc.edu</w:t>
            </w:r>
          </w:p>
        </w:tc>
        <w:tc>
          <w:tcPr>
            <w:tcW w:w="3596" w:type="dxa"/>
          </w:tcPr>
          <w:p w14:paraId="677CB848" w14:textId="77777777" w:rsidR="00EC0A10" w:rsidRDefault="00000000">
            <w:pPr>
              <w:spacing w:after="60"/>
              <w:rPr>
                <w:b/>
              </w:rPr>
            </w:pPr>
            <w:r>
              <w:rPr>
                <w:color w:val="808080"/>
              </w:rPr>
              <w:t>Policy contact’s email address.</w:t>
            </w:r>
          </w:p>
        </w:tc>
        <w:tc>
          <w:tcPr>
            <w:tcW w:w="3596" w:type="dxa"/>
          </w:tcPr>
          <w:p w14:paraId="36B69326" w14:textId="77777777" w:rsidR="00EC0A10" w:rsidRDefault="00000000">
            <w:pPr>
              <w:spacing w:after="60"/>
              <w:rPr>
                <w:b/>
              </w:rPr>
            </w:pPr>
            <w:r>
              <w:rPr>
                <w:color w:val="808080"/>
              </w:rPr>
              <w:t>Policy contact’s email address.</w:t>
            </w:r>
          </w:p>
        </w:tc>
      </w:tr>
      <w:tr w:rsidR="00EC0A10" w14:paraId="711CC62B" w14:textId="77777777">
        <w:trPr>
          <w:trHeight w:val="470"/>
        </w:trPr>
        <w:tc>
          <w:tcPr>
            <w:tcW w:w="3596" w:type="dxa"/>
          </w:tcPr>
          <w:p w14:paraId="1DE5FB4E" w14:textId="77777777" w:rsidR="00EC0A10" w:rsidRDefault="00000000">
            <w:pPr>
              <w:spacing w:after="60"/>
            </w:pPr>
            <w:r>
              <w:t>608-262-1763</w:t>
            </w:r>
          </w:p>
        </w:tc>
        <w:tc>
          <w:tcPr>
            <w:tcW w:w="3596" w:type="dxa"/>
          </w:tcPr>
          <w:p w14:paraId="1AE6AE3D" w14:textId="77777777" w:rsidR="00EC0A10" w:rsidRDefault="00000000">
            <w:pPr>
              <w:spacing w:after="60"/>
              <w:rPr>
                <w:b/>
              </w:rPr>
            </w:pPr>
            <w:r>
              <w:rPr>
                <w:color w:val="808080"/>
              </w:rPr>
              <w:t>Policy contact’s phone number.</w:t>
            </w:r>
          </w:p>
        </w:tc>
        <w:tc>
          <w:tcPr>
            <w:tcW w:w="3596" w:type="dxa"/>
          </w:tcPr>
          <w:p w14:paraId="1EB717E7" w14:textId="77777777" w:rsidR="00EC0A10" w:rsidRDefault="00000000">
            <w:pPr>
              <w:spacing w:after="60"/>
              <w:rPr>
                <w:b/>
              </w:rPr>
            </w:pPr>
            <w:r>
              <w:rPr>
                <w:color w:val="808080"/>
              </w:rPr>
              <w:t>Policy contact’s phone number.</w:t>
            </w:r>
          </w:p>
        </w:tc>
      </w:tr>
    </w:tbl>
    <w:p w14:paraId="77EB43DF" w14:textId="77777777" w:rsidR="00EC0A10" w:rsidRDefault="00EC0A10">
      <w:pPr>
        <w:spacing w:after="60"/>
        <w:rPr>
          <w:b/>
        </w:rPr>
      </w:pPr>
    </w:p>
    <w:p w14:paraId="1797C3B7" w14:textId="77777777" w:rsidR="00EC0A10" w:rsidRDefault="00EC0A10"/>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05"/>
        <w:gridCol w:w="9085"/>
      </w:tblGrid>
      <w:tr w:rsidR="00EC0A10" w14:paraId="3370AC9F" w14:textId="77777777" w:rsidTr="00EC0A10">
        <w:trPr>
          <w:cnfStyle w:val="100000000000" w:firstRow="1" w:lastRow="0" w:firstColumn="0" w:lastColumn="0" w:oddVBand="0" w:evenVBand="0" w:oddHBand="0" w:evenHBand="0" w:firstRowFirstColumn="0" w:firstRowLastColumn="0" w:lastRowFirstColumn="0" w:lastRowLastColumn="0"/>
        </w:trPr>
        <w:tc>
          <w:tcPr>
            <w:tcW w:w="1705" w:type="dxa"/>
            <w:shd w:val="clear" w:color="auto" w:fill="D9D9D9"/>
            <w:tcMar>
              <w:top w:w="72" w:type="dxa"/>
              <w:bottom w:w="72" w:type="dxa"/>
            </w:tcMar>
          </w:tcPr>
          <w:p w14:paraId="343C0724" w14:textId="77777777" w:rsidR="00EC0A10" w:rsidRDefault="00000000">
            <w:pPr>
              <w:tabs>
                <w:tab w:val="left" w:pos="1908"/>
              </w:tabs>
            </w:pPr>
            <w:bookmarkStart w:id="0" w:name="_heading=h.gjdgxs" w:colFirst="0" w:colLast="0"/>
            <w:bookmarkEnd w:id="0"/>
            <w:r>
              <w:t>Policy History</w:t>
            </w:r>
          </w:p>
        </w:tc>
        <w:tc>
          <w:tcPr>
            <w:tcW w:w="9085" w:type="dxa"/>
            <w:shd w:val="clear" w:color="auto" w:fill="D9D9D9"/>
            <w:tcMar>
              <w:top w:w="72" w:type="dxa"/>
              <w:bottom w:w="72" w:type="dxa"/>
            </w:tcMar>
          </w:tcPr>
          <w:p w14:paraId="7DEACABD" w14:textId="77777777" w:rsidR="00EC0A10" w:rsidRDefault="00EC0A10">
            <w:pPr>
              <w:tabs>
                <w:tab w:val="left" w:pos="1908"/>
              </w:tabs>
            </w:pPr>
          </w:p>
        </w:tc>
      </w:tr>
      <w:tr w:rsidR="00EC0A10" w14:paraId="56505F80" w14:textId="77777777" w:rsidTr="00EC0A10">
        <w:trPr>
          <w:trHeight w:val="206"/>
        </w:trPr>
        <w:tc>
          <w:tcPr>
            <w:tcW w:w="1705" w:type="dxa"/>
            <w:tcMar>
              <w:top w:w="72" w:type="dxa"/>
              <w:bottom w:w="72" w:type="dxa"/>
            </w:tcMar>
          </w:tcPr>
          <w:p w14:paraId="049B2243" w14:textId="77777777" w:rsidR="00EC0A10" w:rsidRDefault="00000000">
            <w:pPr>
              <w:rPr>
                <w:b/>
              </w:rPr>
            </w:pPr>
            <w:r>
              <w:rPr>
                <w:b/>
              </w:rPr>
              <w:t>Effective Date</w:t>
            </w:r>
          </w:p>
        </w:tc>
        <w:tc>
          <w:tcPr>
            <w:tcW w:w="9085" w:type="dxa"/>
            <w:tcMar>
              <w:top w:w="72" w:type="dxa"/>
              <w:bottom w:w="72" w:type="dxa"/>
            </w:tcMar>
          </w:tcPr>
          <w:p w14:paraId="4E7E174A" w14:textId="77777777" w:rsidR="00EC0A10" w:rsidRDefault="00000000">
            <w:r>
              <w:rPr>
                <w:color w:val="808080"/>
              </w:rPr>
              <w:t xml:space="preserve">Select the date the policy goes (or went) into effect. </w:t>
            </w:r>
            <w:r>
              <w:rPr>
                <w:i/>
                <w:color w:val="4472C4"/>
              </w:rPr>
              <w:t>(required)</w:t>
            </w:r>
          </w:p>
        </w:tc>
      </w:tr>
      <w:tr w:rsidR="00EC0A10" w14:paraId="3D14F3BF" w14:textId="77777777" w:rsidTr="00EC0A10">
        <w:trPr>
          <w:trHeight w:val="251"/>
        </w:trPr>
        <w:tc>
          <w:tcPr>
            <w:tcW w:w="1705" w:type="dxa"/>
            <w:tcMar>
              <w:top w:w="72" w:type="dxa"/>
              <w:bottom w:w="72" w:type="dxa"/>
            </w:tcMar>
          </w:tcPr>
          <w:p w14:paraId="646CA7BC" w14:textId="77777777" w:rsidR="00EC0A10" w:rsidRDefault="00000000">
            <w:pPr>
              <w:rPr>
                <w:b/>
              </w:rPr>
            </w:pPr>
            <w:r>
              <w:rPr>
                <w:b/>
              </w:rPr>
              <w:t>Date Issued</w:t>
            </w:r>
          </w:p>
        </w:tc>
        <w:tc>
          <w:tcPr>
            <w:tcW w:w="9085" w:type="dxa"/>
            <w:tcMar>
              <w:top w:w="72" w:type="dxa"/>
              <w:bottom w:w="72" w:type="dxa"/>
            </w:tcMar>
          </w:tcPr>
          <w:p w14:paraId="376BC943" w14:textId="77777777" w:rsidR="00EC0A10" w:rsidRDefault="00000000">
            <w:r>
              <w:rPr>
                <w:color w:val="808080"/>
              </w:rPr>
              <w:t xml:space="preserve">Select the original date the policy was released to the university as approved. </w:t>
            </w:r>
            <w:r>
              <w:rPr>
                <w:i/>
                <w:color w:val="4472C4"/>
              </w:rPr>
              <w:t>(optional)</w:t>
            </w:r>
          </w:p>
        </w:tc>
      </w:tr>
      <w:tr w:rsidR="00EC0A10" w14:paraId="07B3E618" w14:textId="77777777" w:rsidTr="00EC0A10">
        <w:trPr>
          <w:trHeight w:val="296"/>
        </w:trPr>
        <w:tc>
          <w:tcPr>
            <w:tcW w:w="1705" w:type="dxa"/>
            <w:tcMar>
              <w:top w:w="72" w:type="dxa"/>
              <w:bottom w:w="72" w:type="dxa"/>
            </w:tcMar>
          </w:tcPr>
          <w:p w14:paraId="67D7A925" w14:textId="77777777" w:rsidR="00EC0A10" w:rsidRDefault="00000000">
            <w:pPr>
              <w:rPr>
                <w:b/>
              </w:rPr>
            </w:pPr>
            <w:r>
              <w:rPr>
                <w:b/>
              </w:rPr>
              <w:t>End Date</w:t>
            </w:r>
          </w:p>
        </w:tc>
        <w:tc>
          <w:tcPr>
            <w:tcW w:w="9085" w:type="dxa"/>
            <w:tcMar>
              <w:top w:w="72" w:type="dxa"/>
              <w:bottom w:w="72" w:type="dxa"/>
            </w:tcMar>
          </w:tcPr>
          <w:p w14:paraId="5780EA93" w14:textId="77777777" w:rsidR="00EC0A10" w:rsidRDefault="00000000">
            <w:r>
              <w:rPr>
                <w:color w:val="808080"/>
              </w:rPr>
              <w:t xml:space="preserve">Select the date the policy is no longer in effect. </w:t>
            </w:r>
            <w:r>
              <w:rPr>
                <w:i/>
                <w:color w:val="4472C4"/>
              </w:rPr>
              <w:t>(optional)</w:t>
            </w:r>
          </w:p>
        </w:tc>
      </w:tr>
      <w:tr w:rsidR="00EC0A10" w14:paraId="37A70384" w14:textId="77777777" w:rsidTr="00EC0A10">
        <w:tc>
          <w:tcPr>
            <w:tcW w:w="1705" w:type="dxa"/>
            <w:tcMar>
              <w:top w:w="72" w:type="dxa"/>
              <w:bottom w:w="72" w:type="dxa"/>
            </w:tcMar>
          </w:tcPr>
          <w:p w14:paraId="1B8ECE49" w14:textId="77777777" w:rsidR="00EC0A10" w:rsidRDefault="00000000">
            <w:pPr>
              <w:rPr>
                <w:b/>
              </w:rPr>
            </w:pPr>
            <w:r>
              <w:rPr>
                <w:b/>
              </w:rPr>
              <w:t xml:space="preserve">Next Review </w:t>
            </w:r>
          </w:p>
        </w:tc>
        <w:tc>
          <w:tcPr>
            <w:tcW w:w="9085" w:type="dxa"/>
            <w:tcMar>
              <w:top w:w="72" w:type="dxa"/>
              <w:bottom w:w="72" w:type="dxa"/>
            </w:tcMar>
          </w:tcPr>
          <w:p w14:paraId="508C7666" w14:textId="77777777" w:rsidR="00EC0A10" w:rsidRDefault="00000000">
            <w:r>
              <w:rPr>
                <w:color w:val="808080"/>
              </w:rPr>
              <w:t xml:space="preserve">Select the date the policy is next scheduled for review. </w:t>
            </w:r>
            <w:r>
              <w:rPr>
                <w:i/>
                <w:color w:val="4472C4"/>
              </w:rPr>
              <w:t>(optional)</w:t>
            </w:r>
          </w:p>
        </w:tc>
      </w:tr>
    </w:tbl>
    <w:p w14:paraId="1D3EBE57" w14:textId="77777777" w:rsidR="00EC0A10" w:rsidRDefault="00EC0A10">
      <w:pPr>
        <w:rPr>
          <w:b/>
        </w:rPr>
      </w:pPr>
    </w:p>
    <w:p w14:paraId="0B18CBDA" w14:textId="77777777" w:rsidR="00EC0A10" w:rsidRDefault="00EC0A10">
      <w:pPr>
        <w:rPr>
          <w:b/>
        </w:rPr>
      </w:pPr>
    </w:p>
    <w:p w14:paraId="51511F2B" w14:textId="77777777" w:rsidR="00EC0A10" w:rsidRDefault="00000000">
      <w:pPr>
        <w:spacing w:after="60"/>
        <w:rPr>
          <w:b/>
        </w:rPr>
      </w:pPr>
      <w:r>
        <w:rPr>
          <w:b/>
        </w:rPr>
        <w:t>Revised Dates</w:t>
      </w:r>
    </w:p>
    <w:p w14:paraId="30259E92" w14:textId="258F70E5" w:rsidR="00EC0A10" w:rsidRDefault="00C83DBF">
      <w:pPr>
        <w:numPr>
          <w:ilvl w:val="0"/>
          <w:numId w:val="3"/>
        </w:numPr>
      </w:pPr>
      <w:r>
        <w:rPr>
          <w:color w:val="808080"/>
        </w:rPr>
        <w:t>03/08/</w:t>
      </w:r>
      <w:r w:rsidR="00000000">
        <w:rPr>
          <w:color w:val="808080"/>
        </w:rPr>
        <w:t>2024</w:t>
      </w:r>
    </w:p>
    <w:p w14:paraId="2E411ABC" w14:textId="77777777" w:rsidR="00EC0A10" w:rsidRDefault="00EC0A10">
      <w:pPr>
        <w:rPr>
          <w:b/>
        </w:rPr>
      </w:pPr>
    </w:p>
    <w:p w14:paraId="12AB7405" w14:textId="77777777" w:rsidR="00EC0A10" w:rsidRDefault="00000000">
      <w:pPr>
        <w:tabs>
          <w:tab w:val="left" w:pos="3060"/>
        </w:tabs>
        <w:spacing w:after="60"/>
        <w:rPr>
          <w:b/>
        </w:rPr>
      </w:pPr>
      <w:r>
        <w:rPr>
          <w:b/>
        </w:rPr>
        <w:t>Reviewed Dates</w:t>
      </w:r>
    </w:p>
    <w:p w14:paraId="568E8F80" w14:textId="77777777" w:rsidR="00EC0A10" w:rsidRDefault="00000000">
      <w:r>
        <w:rPr>
          <w:color w:val="808080"/>
        </w:rPr>
        <w:t xml:space="preserve">List all the dates the policy was reviewed, using MM/DD/YYYY format. </w:t>
      </w:r>
      <w:r>
        <w:rPr>
          <w:i/>
          <w:color w:val="4472C4"/>
        </w:rPr>
        <w:t>(optional)</w:t>
      </w:r>
    </w:p>
    <w:p w14:paraId="3623F75E" w14:textId="77777777" w:rsidR="00EC0A10" w:rsidRDefault="00EC0A10"/>
    <w:sectPr w:rsidR="00EC0A10">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7BE39" w14:textId="77777777" w:rsidR="00584BA7" w:rsidRDefault="00584BA7">
      <w:r>
        <w:separator/>
      </w:r>
    </w:p>
  </w:endnote>
  <w:endnote w:type="continuationSeparator" w:id="0">
    <w:p w14:paraId="664BA79E" w14:textId="77777777" w:rsidR="00584BA7" w:rsidRDefault="0058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EF1EC" w14:textId="77777777" w:rsidR="00EC0A10" w:rsidRDefault="00EC0A10"/>
  <w:p w14:paraId="35D3A567" w14:textId="77777777" w:rsidR="00EC0A10" w:rsidRDefault="00EC0A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58C7" w14:textId="77777777" w:rsidR="00EC0A10" w:rsidRDefault="00000000">
    <w:pPr>
      <w:rPr>
        <w:sz w:val="20"/>
        <w:szCs w:val="20"/>
      </w:rPr>
    </w:pPr>
    <w:bookmarkStart w:id="1" w:name="_heading=h.1fob9te" w:colFirst="0" w:colLast="0"/>
    <w:bookmarkEnd w:id="1"/>
    <w:r>
      <w:pict w14:anchorId="198AE774">
        <v:rect id="_x0000_i1025" style="width:0;height:1.5pt" o:hralign="center" o:hrstd="t" o:hr="t" fillcolor="#a0a0a0" stroked="f"/>
      </w:pict>
    </w:r>
  </w:p>
  <w:p w14:paraId="6209961E" w14:textId="77777777" w:rsidR="00EC0A10" w:rsidRDefault="00000000">
    <w:pPr>
      <w:pBdr>
        <w:top w:val="nil"/>
        <w:left w:val="nil"/>
        <w:bottom w:val="nil"/>
        <w:right w:val="nil"/>
        <w:between w:val="nil"/>
      </w:pBdr>
      <w:rPr>
        <w:color w:val="000000"/>
        <w:sz w:val="20"/>
        <w:szCs w:val="20"/>
      </w:rPr>
    </w:pPr>
    <w:r>
      <w:rPr>
        <w:color w:val="000000"/>
        <w:sz w:val="20"/>
        <w:szCs w:val="20"/>
      </w:rPr>
      <w:t xml:space="preserve">University of Wisconsin–Madison Page </w:t>
    </w:r>
    <w:r>
      <w:rPr>
        <w:color w:val="000000"/>
        <w:sz w:val="20"/>
        <w:szCs w:val="20"/>
      </w:rPr>
      <w:fldChar w:fldCharType="begin"/>
    </w:r>
    <w:r>
      <w:rPr>
        <w:color w:val="000000"/>
        <w:sz w:val="20"/>
        <w:szCs w:val="20"/>
      </w:rPr>
      <w:instrText>PAGE</w:instrText>
    </w:r>
    <w:r>
      <w:rPr>
        <w:color w:val="000000"/>
        <w:sz w:val="20"/>
        <w:szCs w:val="20"/>
      </w:rPr>
      <w:fldChar w:fldCharType="separate"/>
    </w:r>
    <w:r w:rsidR="00C83DBF">
      <w:rPr>
        <w:noProof/>
        <w:color w:val="000000"/>
        <w:sz w:val="20"/>
        <w:szCs w:val="20"/>
      </w:rPr>
      <w:t>2</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C83DBF">
      <w:rPr>
        <w:noProof/>
        <w:color w:val="000000"/>
        <w:sz w:val="20"/>
        <w:szCs w:val="20"/>
      </w:rPr>
      <w:t>3</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E0DA" w14:textId="77777777" w:rsidR="00EC0A10" w:rsidRDefault="00000000">
    <w:pPr>
      <w:rPr>
        <w:sz w:val="20"/>
        <w:szCs w:val="20"/>
      </w:rPr>
    </w:pPr>
    <w:r>
      <w:pict w14:anchorId="4EFA805E">
        <v:rect id="_x0000_i1026" style="width:0;height:1.5pt" o:hralign="center" o:hrstd="t" o:hr="t" fillcolor="#a0a0a0" stroked="f"/>
      </w:pict>
    </w:r>
  </w:p>
  <w:p w14:paraId="77E7BC92" w14:textId="77777777" w:rsidR="00EC0A10" w:rsidRDefault="00000000">
    <w:pPr>
      <w:pBdr>
        <w:top w:val="nil"/>
        <w:left w:val="nil"/>
        <w:bottom w:val="nil"/>
        <w:right w:val="nil"/>
        <w:between w:val="nil"/>
      </w:pBdr>
      <w:rPr>
        <w:color w:val="000000"/>
        <w:sz w:val="20"/>
        <w:szCs w:val="20"/>
      </w:rPr>
    </w:pPr>
    <w:r>
      <w:rPr>
        <w:color w:val="000000"/>
        <w:sz w:val="20"/>
        <w:szCs w:val="20"/>
      </w:rPr>
      <w:t xml:space="preserve">University of Wisconsin–Madison Page </w:t>
    </w:r>
    <w:r>
      <w:rPr>
        <w:color w:val="000000"/>
        <w:sz w:val="20"/>
        <w:szCs w:val="20"/>
      </w:rPr>
      <w:fldChar w:fldCharType="begin"/>
    </w:r>
    <w:r>
      <w:rPr>
        <w:color w:val="000000"/>
        <w:sz w:val="20"/>
        <w:szCs w:val="20"/>
      </w:rPr>
      <w:instrText>PAGE</w:instrText>
    </w:r>
    <w:r>
      <w:rPr>
        <w:color w:val="000000"/>
        <w:sz w:val="20"/>
        <w:szCs w:val="20"/>
      </w:rPr>
      <w:fldChar w:fldCharType="separate"/>
    </w:r>
    <w:r w:rsidR="00C83DBF">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C83DBF">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08D2E" w14:textId="77777777" w:rsidR="00584BA7" w:rsidRDefault="00584BA7">
      <w:r>
        <w:separator/>
      </w:r>
    </w:p>
  </w:footnote>
  <w:footnote w:type="continuationSeparator" w:id="0">
    <w:p w14:paraId="7F6253A7" w14:textId="77777777" w:rsidR="00584BA7" w:rsidRDefault="0058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BE9E4" w14:textId="77777777" w:rsidR="00EC0A10" w:rsidRDefault="00EC0A10"/>
  <w:p w14:paraId="22D8AD57" w14:textId="77777777" w:rsidR="00EC0A10" w:rsidRDefault="00EC0A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447C8" w14:textId="77777777" w:rsidR="00EC0A10" w:rsidRDefault="00000000">
    <w:pPr>
      <w:spacing w:after="60"/>
      <w:jc w:val="right"/>
      <w:rPr>
        <w:color w:val="C00000"/>
      </w:rPr>
    </w:pPr>
    <w:r>
      <w:rPr>
        <w:color w:val="C00000"/>
      </w:rPr>
      <w:t xml:space="preserve">UW–MADISON POLICY </w:t>
    </w:r>
  </w:p>
  <w:p w14:paraId="46827E06" w14:textId="77777777" w:rsidR="00EC0A10" w:rsidRDefault="00000000">
    <w:pPr>
      <w:pStyle w:val="Heading2"/>
      <w:tabs>
        <w:tab w:val="right" w:pos="9350"/>
        <w:tab w:val="right" w:pos="9350"/>
      </w:tabs>
      <w:spacing w:before="0"/>
      <w:jc w:val="right"/>
    </w:pPr>
    <w:r>
      <w:t>University Policy</w:t>
    </w:r>
  </w:p>
  <w:p w14:paraId="17299921" w14:textId="77777777" w:rsidR="00EC0A10" w:rsidRDefault="00EC0A10">
    <w:pPr>
      <w:pBdr>
        <w:top w:val="nil"/>
        <w:left w:val="nil"/>
        <w:bottom w:val="nil"/>
        <w:right w:val="nil"/>
        <w:between w:val="nil"/>
      </w:pBdr>
      <w:tabs>
        <w:tab w:val="center" w:pos="4680"/>
        <w:tab w:val="right" w:pos="9360"/>
      </w:tabs>
      <w:rPr>
        <w:rFonts w:ascii="Calibri" w:eastAsia="Calibri" w:hAnsi="Calibri" w:cs="Calibri"/>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2C03" w14:textId="77777777" w:rsidR="00EC0A10" w:rsidRDefault="00000000">
    <w:pPr>
      <w:spacing w:after="60"/>
      <w:jc w:val="right"/>
    </w:pPr>
    <w:bookmarkStart w:id="2" w:name="_heading=h.30j0zll" w:colFirst="0" w:colLast="0"/>
    <w:bookmarkEnd w:id="2"/>
    <w:r>
      <w:rPr>
        <w:b/>
        <w:noProof/>
        <w:color w:val="C00000"/>
        <w:sz w:val="28"/>
        <w:szCs w:val="28"/>
      </w:rPr>
      <w:drawing>
        <wp:anchor distT="0" distB="0" distL="0" distR="0" simplePos="0" relativeHeight="251658240" behindDoc="1" locked="0" layoutInCell="1" hidden="0" allowOverlap="1" wp14:anchorId="00DE051E" wp14:editId="6076F74F">
          <wp:simplePos x="0" y="0"/>
          <wp:positionH relativeFrom="margin">
            <wp:align>left</wp:align>
          </wp:positionH>
          <wp:positionV relativeFrom="margin">
            <wp:posOffset>-813937</wp:posOffset>
          </wp:positionV>
          <wp:extent cx="1922780" cy="647700"/>
          <wp:effectExtent l="0" t="0" r="0" b="0"/>
          <wp:wrapNone/>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2780" cy="647700"/>
                  </a:xfrm>
                  <a:prstGeom prst="rect">
                    <a:avLst/>
                  </a:prstGeom>
                  <a:ln/>
                </pic:spPr>
              </pic:pic>
            </a:graphicData>
          </a:graphic>
        </wp:anchor>
      </w:drawing>
    </w:r>
    <w:r>
      <w:rPr>
        <w:color w:val="C00000"/>
      </w:rPr>
      <w:t>UW–MADISON POLICY</w:t>
    </w:r>
  </w:p>
  <w:p w14:paraId="3FDF6A59" w14:textId="77777777" w:rsidR="00EC0A10" w:rsidRDefault="00000000">
    <w:pPr>
      <w:pStyle w:val="Heading2"/>
      <w:tabs>
        <w:tab w:val="right" w:pos="9350"/>
        <w:tab w:val="right" w:pos="9350"/>
      </w:tabs>
      <w:spacing w:before="0"/>
      <w:jc w:val="right"/>
    </w:pPr>
    <w:r>
      <w:t>University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68C4"/>
    <w:multiLevelType w:val="multilevel"/>
    <w:tmpl w:val="0AEE9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551739"/>
    <w:multiLevelType w:val="multilevel"/>
    <w:tmpl w:val="2C38E2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F041A75"/>
    <w:multiLevelType w:val="multilevel"/>
    <w:tmpl w:val="67361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5293541">
    <w:abstractNumId w:val="2"/>
  </w:num>
  <w:num w:numId="2" w16cid:durableId="735515431">
    <w:abstractNumId w:val="1"/>
  </w:num>
  <w:num w:numId="3" w16cid:durableId="155191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10"/>
    <w:rsid w:val="00584BA7"/>
    <w:rsid w:val="00C83DBF"/>
    <w:rsid w:val="00EC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FCA80A"/>
  <w15:docId w15:val="{78AFD4B2-F44E-4486-A6BD-6F13F0C8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2C"/>
    <w:rPr>
      <w:szCs w:val="26"/>
    </w:rPr>
  </w:style>
  <w:style w:type="paragraph" w:styleId="Heading1">
    <w:name w:val="heading 1"/>
    <w:basedOn w:val="Normal"/>
    <w:next w:val="Normal"/>
    <w:link w:val="Heading1Char"/>
    <w:uiPriority w:val="9"/>
    <w:qFormat/>
    <w:rsid w:val="005C472C"/>
    <w:pPr>
      <w:keepNext/>
      <w:keepLines/>
      <w:pBdr>
        <w:bottom w:val="single" w:sz="4" w:space="1" w:color="5B9BD5" w:themeColor="accent5"/>
      </w:pBdr>
      <w:spacing w:before="360" w:after="120"/>
      <w:outlineLvl w:val="0"/>
    </w:pPr>
    <w:rPr>
      <w:rFonts w:eastAsiaTheme="majorEastAsia" w:cstheme="majorHAnsi"/>
      <w:b/>
      <w:caps/>
      <w:color w:val="C00000"/>
      <w:sz w:val="28"/>
      <w:szCs w:val="32"/>
    </w:rPr>
  </w:style>
  <w:style w:type="paragraph" w:styleId="Heading2">
    <w:name w:val="heading 2"/>
    <w:basedOn w:val="Normal"/>
    <w:next w:val="Normal"/>
    <w:link w:val="Heading2Char"/>
    <w:uiPriority w:val="9"/>
    <w:unhideWhenUsed/>
    <w:qFormat/>
    <w:rsid w:val="005C472C"/>
    <w:pPr>
      <w:keepNext/>
      <w:keepLines/>
      <w:pBdr>
        <w:bottom w:val="single" w:sz="8" w:space="1" w:color="auto"/>
      </w:pBdr>
      <w:tabs>
        <w:tab w:val="right" w:leader="dot" w:pos="9350"/>
      </w:tabs>
      <w:spacing w:before="360" w:after="120"/>
      <w:outlineLvl w:val="1"/>
    </w:pPr>
    <w:rPr>
      <w:rFonts w:eastAsiaTheme="majorEastAsia" w:cstheme="majorHAnsi"/>
      <w:b/>
      <w:bCs/>
      <w:sz w:val="28"/>
      <w:szCs w:val="28"/>
    </w:rPr>
  </w:style>
  <w:style w:type="paragraph" w:styleId="Heading3">
    <w:name w:val="heading 3"/>
    <w:basedOn w:val="Normal"/>
    <w:next w:val="Normal"/>
    <w:link w:val="Heading3Char"/>
    <w:uiPriority w:val="9"/>
    <w:unhideWhenUsed/>
    <w:qFormat/>
    <w:rsid w:val="005C472C"/>
    <w:pPr>
      <w:keepNext/>
      <w:keepLines/>
      <w:spacing w:before="360" w:after="120"/>
      <w:outlineLvl w:val="2"/>
    </w:pPr>
    <w:rPr>
      <w:rFonts w:eastAsiaTheme="majorEastAsia" w:cstheme="majorHAnsi"/>
      <w:b/>
      <w:iCs/>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C472C"/>
    <w:rPr>
      <w:rFonts w:ascii="Arial" w:eastAsiaTheme="majorEastAsia" w:hAnsi="Arial" w:cstheme="majorHAnsi"/>
      <w:b/>
      <w:caps/>
      <w:color w:val="C00000"/>
      <w:sz w:val="28"/>
      <w:szCs w:val="32"/>
    </w:rPr>
  </w:style>
  <w:style w:type="character" w:customStyle="1" w:styleId="Heading2Char">
    <w:name w:val="Heading 2 Char"/>
    <w:basedOn w:val="DefaultParagraphFont"/>
    <w:link w:val="Heading2"/>
    <w:uiPriority w:val="9"/>
    <w:rsid w:val="005C472C"/>
    <w:rPr>
      <w:rFonts w:ascii="Arial" w:eastAsiaTheme="majorEastAsia" w:hAnsi="Arial" w:cstheme="majorHAnsi"/>
      <w:b/>
      <w:bCs/>
      <w:sz w:val="28"/>
      <w:szCs w:val="28"/>
    </w:rPr>
  </w:style>
  <w:style w:type="character" w:customStyle="1" w:styleId="Heading3Char">
    <w:name w:val="Heading 3 Char"/>
    <w:basedOn w:val="DefaultParagraphFont"/>
    <w:link w:val="Heading3"/>
    <w:uiPriority w:val="9"/>
    <w:rsid w:val="005C472C"/>
    <w:rPr>
      <w:rFonts w:ascii="Arial" w:eastAsiaTheme="majorEastAsia" w:hAnsi="Arial" w:cstheme="majorHAnsi"/>
      <w:b/>
      <w:iCs/>
      <w:sz w:val="28"/>
      <w:szCs w:val="28"/>
    </w:rPr>
  </w:style>
  <w:style w:type="paragraph" w:styleId="NoSpacing">
    <w:name w:val="No Spacing"/>
    <w:aliases w:val="Size 10"/>
    <w:uiPriority w:val="1"/>
    <w:qFormat/>
    <w:rsid w:val="005C472C"/>
    <w:rPr>
      <w:sz w:val="20"/>
      <w:szCs w:val="26"/>
    </w:rPr>
  </w:style>
  <w:style w:type="character" w:styleId="PlaceholderText">
    <w:name w:val="Placeholder Text"/>
    <w:basedOn w:val="DefaultParagraphFont"/>
    <w:uiPriority w:val="99"/>
    <w:semiHidden/>
    <w:rsid w:val="005C472C"/>
    <w:rPr>
      <w:color w:val="808080"/>
    </w:rPr>
  </w:style>
  <w:style w:type="paragraph" w:styleId="Header">
    <w:name w:val="header"/>
    <w:basedOn w:val="Normal"/>
    <w:link w:val="HeaderChar"/>
    <w:uiPriority w:val="99"/>
    <w:unhideWhenUsed/>
    <w:rsid w:val="005C472C"/>
    <w:pPr>
      <w:tabs>
        <w:tab w:val="center" w:pos="4680"/>
        <w:tab w:val="right" w:pos="9360"/>
      </w:tabs>
    </w:pPr>
    <w:rPr>
      <w:rFonts w:asciiTheme="minorHAnsi" w:eastAsiaTheme="minorEastAsia" w:hAnsiTheme="minorHAnsi" w:cs="Times New Roman"/>
      <w:szCs w:val="22"/>
    </w:rPr>
  </w:style>
  <w:style w:type="character" w:customStyle="1" w:styleId="HeaderChar">
    <w:name w:val="Header Char"/>
    <w:basedOn w:val="DefaultParagraphFont"/>
    <w:link w:val="Header"/>
    <w:uiPriority w:val="99"/>
    <w:rsid w:val="005C472C"/>
    <w:rPr>
      <w:rFonts w:eastAsiaTheme="minorEastAsia" w:cs="Times New Roman"/>
    </w:rPr>
  </w:style>
  <w:style w:type="table" w:customStyle="1" w:styleId="Table">
    <w:name w:val="Table"/>
    <w:basedOn w:val="TableNormal"/>
    <w:uiPriority w:val="99"/>
    <w:rsid w:val="005C472C"/>
    <w:tblPr>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CellMar>
        <w:top w:w="29" w:type="dxa"/>
        <w:left w:w="115" w:type="dxa"/>
        <w:bottom w:w="29" w:type="dxa"/>
        <w:right w:w="115" w:type="dxa"/>
      </w:tblCellMar>
    </w:tblPr>
    <w:tblStylePr w:type="firstRow">
      <w:pPr>
        <w:jc w:val="center"/>
      </w:pPr>
      <w:rPr>
        <w:b/>
      </w:rPr>
      <w:tblPr/>
      <w:tcPr>
        <w:shd w:val="clear" w:color="auto" w:fill="F0F0F0"/>
      </w:tcPr>
    </w:tblStylePr>
  </w:style>
  <w:style w:type="table" w:styleId="TableGrid">
    <w:name w:val="Table Grid"/>
    <w:basedOn w:val="TableNormal"/>
    <w:uiPriority w:val="39"/>
    <w:rsid w:val="005C4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AB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top w:w="29" w:type="dxa"/>
        <w:left w:w="115" w:type="dxa"/>
        <w:bottom w:w="29" w:type="dxa"/>
        <w:right w:w="115" w:type="dxa"/>
      </w:tblCellMar>
    </w:tblPr>
    <w:tblStylePr w:type="firstRow">
      <w:pPr>
        <w:jc w:val="center"/>
      </w:pPr>
      <w:rPr>
        <w:b/>
      </w:rPr>
      <w:tblPr/>
      <w:tcPr>
        <w:shd w:val="clear" w:color="auto" w:fill="F0F0F0"/>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tblStylePr w:type="firstRow">
      <w:pPr>
        <w:jc w:val="center"/>
      </w:pPr>
      <w:rPr>
        <w:b/>
      </w:rPr>
      <w:tblPr/>
      <w:tcPr>
        <w:shd w:val="clear" w:color="auto" w:fill="F0F0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P4Ig+90QgXmJnwJLgnKog6fYQ==">CgMxLjAyCGguZ2pkZ3hzMgloLjMwajB6bGwyCWguMWZvYjl0ZTgAcg0xNDYxNjYxNTY2MTUw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5300</Characters>
  <Application>Microsoft Office Word</Application>
  <DocSecurity>0</DocSecurity>
  <Lines>44</Lines>
  <Paragraphs>12</Paragraphs>
  <ScaleCrop>false</ScaleCrop>
  <Company>University of Wisconsin-Madison</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Meyer</dc:creator>
  <cp:lastModifiedBy>Kevin Hage</cp:lastModifiedBy>
  <cp:revision>2</cp:revision>
  <dcterms:created xsi:type="dcterms:W3CDTF">2021-07-09T19:53:00Z</dcterms:created>
  <dcterms:modified xsi:type="dcterms:W3CDTF">2024-03-29T19:39:00Z</dcterms:modified>
</cp:coreProperties>
</file>