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7180" w14:textId="5E174CFD" w:rsidR="0054548B" w:rsidRPr="004862AE" w:rsidRDefault="00151A8A" w:rsidP="00847368">
      <w:pPr>
        <w:jc w:val="center"/>
        <w:rPr>
          <w:rFonts w:ascii="Cambria" w:hAnsi="Cambria"/>
          <w:b/>
          <w:bCs/>
        </w:rPr>
      </w:pPr>
      <w:r w:rsidRPr="004862AE">
        <w:rPr>
          <w:rFonts w:ascii="Cambria" w:hAnsi="Cambria"/>
          <w:b/>
          <w:bCs/>
        </w:rPr>
        <w:t>Timeline Analysis of the School of Education Grievance Policy and Procedures</w:t>
      </w:r>
    </w:p>
    <w:p w14:paraId="32C60C2E" w14:textId="72CE1574" w:rsidR="00151A8A" w:rsidRPr="00847368" w:rsidRDefault="00151A8A">
      <w:pPr>
        <w:rPr>
          <w:rFonts w:ascii="Cambria" w:hAnsi="Cambria"/>
        </w:rPr>
      </w:pPr>
    </w:p>
    <w:p w14:paraId="6719EDB0" w14:textId="11B9D831" w:rsidR="00151A8A" w:rsidRPr="00847368" w:rsidRDefault="00151A8A">
      <w:pPr>
        <w:rPr>
          <w:rFonts w:ascii="Cambria" w:hAnsi="Cambria"/>
        </w:rPr>
      </w:pPr>
      <w:r w:rsidRPr="00847368">
        <w:rPr>
          <w:rFonts w:ascii="Cambria" w:hAnsi="Cambria"/>
        </w:rPr>
        <w:t xml:space="preserve">Our </w:t>
      </w:r>
      <w:r w:rsidRPr="004862AE">
        <w:rPr>
          <w:rFonts w:ascii="Cambria" w:hAnsi="Cambria"/>
          <w:u w:val="single"/>
        </w:rPr>
        <w:t>policy</w:t>
      </w:r>
      <w:r w:rsidRPr="00847368">
        <w:rPr>
          <w:rFonts w:ascii="Cambria" w:hAnsi="Cambria"/>
        </w:rPr>
        <w:t xml:space="preserve"> states: </w:t>
      </w:r>
    </w:p>
    <w:p w14:paraId="6EC7E11A" w14:textId="588270AD" w:rsidR="00151A8A" w:rsidRPr="009837B6" w:rsidRDefault="00151A8A" w:rsidP="009837B6">
      <w:pPr>
        <w:ind w:left="720"/>
        <w:rPr>
          <w:rFonts w:ascii="Cambria" w:hAnsi="Cambria"/>
          <w:i/>
          <w:iCs/>
        </w:rPr>
      </w:pPr>
      <w:r w:rsidRPr="004862AE">
        <w:rPr>
          <w:rFonts w:ascii="Cambria" w:hAnsi="Cambria"/>
          <w:i/>
          <w:iCs/>
        </w:rPr>
        <w:t>Any student who feels they have been treated unfairly by a School of Education faculty or staff member has the right to file a complaint about the treatment and receive a prompt response addressing the concerns raised.</w:t>
      </w:r>
    </w:p>
    <w:p w14:paraId="032D5DA9" w14:textId="701FB789" w:rsidR="00151A8A" w:rsidRPr="00847368" w:rsidRDefault="00151A8A" w:rsidP="00151A8A">
      <w:pPr>
        <w:rPr>
          <w:rFonts w:ascii="Cambria" w:hAnsi="Cambria"/>
        </w:rPr>
      </w:pPr>
      <w:r w:rsidRPr="00847368">
        <w:rPr>
          <w:rFonts w:ascii="Cambria" w:hAnsi="Cambria"/>
        </w:rPr>
        <w:t xml:space="preserve">Questions: </w:t>
      </w:r>
    </w:p>
    <w:p w14:paraId="5E00044A" w14:textId="540910E1" w:rsidR="00151A8A" w:rsidRPr="00847368" w:rsidRDefault="00151A8A" w:rsidP="00151A8A">
      <w:pPr>
        <w:rPr>
          <w:rFonts w:ascii="Cambria" w:hAnsi="Cambria"/>
        </w:rPr>
      </w:pPr>
      <w:r w:rsidRPr="00847368">
        <w:rPr>
          <w:rFonts w:ascii="Cambria" w:hAnsi="Cambria"/>
        </w:rPr>
        <w:t>Does the timeline laid out in our procedures fulfill our policy promise of prompt response?</w:t>
      </w:r>
    </w:p>
    <w:p w14:paraId="56D12EA3" w14:textId="0BD0E9E0" w:rsidR="00151A8A" w:rsidRPr="00847368" w:rsidRDefault="00151A8A" w:rsidP="00151A8A">
      <w:pPr>
        <w:rPr>
          <w:rFonts w:ascii="Cambria" w:hAnsi="Cambria"/>
        </w:rPr>
      </w:pPr>
      <w:r w:rsidRPr="00847368">
        <w:rPr>
          <w:rFonts w:ascii="Cambria" w:hAnsi="Cambria"/>
        </w:rPr>
        <w:t>Is it a reasonable expectation to execute these procedures in the timeframes allocated?</w:t>
      </w:r>
    </w:p>
    <w:p w14:paraId="68A8E773" w14:textId="32C42602" w:rsidR="00151A8A" w:rsidRPr="00847368" w:rsidRDefault="00151A8A" w:rsidP="00151A8A">
      <w:pPr>
        <w:rPr>
          <w:rFonts w:ascii="Cambria" w:hAnsi="Cambria"/>
        </w:rPr>
      </w:pPr>
    </w:p>
    <w:tbl>
      <w:tblPr>
        <w:tblStyle w:val="TableGrid"/>
        <w:tblW w:w="0" w:type="auto"/>
        <w:tblLook w:val="04A0" w:firstRow="1" w:lastRow="0" w:firstColumn="1" w:lastColumn="0" w:noHBand="0" w:noVBand="1"/>
      </w:tblPr>
      <w:tblGrid>
        <w:gridCol w:w="4495"/>
        <w:gridCol w:w="2790"/>
        <w:gridCol w:w="2065"/>
      </w:tblGrid>
      <w:tr w:rsidR="00694C33" w:rsidRPr="00847368" w14:paraId="64D26415" w14:textId="77777777" w:rsidTr="009837B6">
        <w:tc>
          <w:tcPr>
            <w:tcW w:w="4495" w:type="dxa"/>
          </w:tcPr>
          <w:p w14:paraId="5BAAF627" w14:textId="4E13872A" w:rsidR="00694C33" w:rsidRPr="00847368" w:rsidRDefault="00694C33" w:rsidP="00847368">
            <w:pPr>
              <w:jc w:val="center"/>
              <w:rPr>
                <w:rFonts w:ascii="Cambria" w:hAnsi="Cambria"/>
                <w:b/>
                <w:bCs/>
              </w:rPr>
            </w:pPr>
            <w:r w:rsidRPr="00847368">
              <w:rPr>
                <w:rFonts w:ascii="Cambria" w:hAnsi="Cambria"/>
                <w:b/>
                <w:bCs/>
              </w:rPr>
              <w:t>Procedural step</w:t>
            </w:r>
          </w:p>
        </w:tc>
        <w:tc>
          <w:tcPr>
            <w:tcW w:w="2790" w:type="dxa"/>
          </w:tcPr>
          <w:p w14:paraId="48B20EE2" w14:textId="637D73B6" w:rsidR="00694C33" w:rsidRPr="00847368" w:rsidRDefault="00694C33" w:rsidP="004862AE">
            <w:pPr>
              <w:jc w:val="center"/>
              <w:rPr>
                <w:rFonts w:ascii="Cambria" w:hAnsi="Cambria"/>
                <w:b/>
                <w:bCs/>
              </w:rPr>
            </w:pPr>
            <w:r w:rsidRPr="00847368">
              <w:rPr>
                <w:rFonts w:ascii="Cambria" w:hAnsi="Cambria"/>
                <w:b/>
                <w:bCs/>
              </w:rPr>
              <w:t>Time allotted for this step</w:t>
            </w:r>
          </w:p>
        </w:tc>
        <w:tc>
          <w:tcPr>
            <w:tcW w:w="2065" w:type="dxa"/>
          </w:tcPr>
          <w:p w14:paraId="71F1D056" w14:textId="51C2FEE8" w:rsidR="00694C33" w:rsidRPr="00847368" w:rsidRDefault="00694C33" w:rsidP="00847368">
            <w:pPr>
              <w:jc w:val="center"/>
              <w:rPr>
                <w:rFonts w:ascii="Cambria" w:hAnsi="Cambria"/>
                <w:b/>
                <w:bCs/>
              </w:rPr>
            </w:pPr>
            <w:r w:rsidRPr="00847368">
              <w:rPr>
                <w:rFonts w:ascii="Cambria" w:hAnsi="Cambria"/>
                <w:b/>
                <w:bCs/>
              </w:rPr>
              <w:t>Running max time since incident</w:t>
            </w:r>
          </w:p>
        </w:tc>
      </w:tr>
      <w:tr w:rsidR="00694C33" w:rsidRPr="00847368" w14:paraId="2BA95659" w14:textId="77777777" w:rsidTr="009837B6">
        <w:tc>
          <w:tcPr>
            <w:tcW w:w="4495" w:type="dxa"/>
            <w:shd w:val="clear" w:color="auto" w:fill="D9E2F3" w:themeFill="accent1" w:themeFillTint="33"/>
          </w:tcPr>
          <w:p w14:paraId="765668BF" w14:textId="6A70F90E" w:rsidR="00694C33" w:rsidRPr="00847368" w:rsidRDefault="00694C33" w:rsidP="00151A8A">
            <w:pPr>
              <w:rPr>
                <w:rFonts w:ascii="Cambria" w:hAnsi="Cambria"/>
                <w:i/>
                <w:iCs/>
              </w:rPr>
            </w:pPr>
            <w:r w:rsidRPr="00847368">
              <w:rPr>
                <w:rFonts w:ascii="Cambria" w:hAnsi="Cambria"/>
                <w:i/>
                <w:iCs/>
              </w:rPr>
              <w:t>Incident happens</w:t>
            </w:r>
          </w:p>
        </w:tc>
        <w:tc>
          <w:tcPr>
            <w:tcW w:w="2790" w:type="dxa"/>
            <w:shd w:val="clear" w:color="auto" w:fill="D9E2F3" w:themeFill="accent1" w:themeFillTint="33"/>
          </w:tcPr>
          <w:p w14:paraId="6BFD4F89" w14:textId="77777777" w:rsidR="00694C33" w:rsidRPr="00847368" w:rsidRDefault="00694C33" w:rsidP="004862AE">
            <w:pPr>
              <w:jc w:val="center"/>
              <w:rPr>
                <w:rFonts w:ascii="Cambria" w:hAnsi="Cambria"/>
                <w:i/>
                <w:iCs/>
              </w:rPr>
            </w:pPr>
          </w:p>
        </w:tc>
        <w:tc>
          <w:tcPr>
            <w:tcW w:w="2065" w:type="dxa"/>
            <w:shd w:val="clear" w:color="auto" w:fill="D9E2F3" w:themeFill="accent1" w:themeFillTint="33"/>
          </w:tcPr>
          <w:p w14:paraId="6FE12730" w14:textId="77777777" w:rsidR="00694C33" w:rsidRPr="00847368" w:rsidRDefault="00694C33" w:rsidP="00847368">
            <w:pPr>
              <w:jc w:val="center"/>
              <w:rPr>
                <w:rFonts w:ascii="Cambria" w:hAnsi="Cambria"/>
                <w:i/>
                <w:iCs/>
              </w:rPr>
            </w:pPr>
          </w:p>
        </w:tc>
      </w:tr>
      <w:tr w:rsidR="00694C33" w:rsidRPr="00847368" w14:paraId="06E491CD" w14:textId="77777777" w:rsidTr="009837B6">
        <w:tc>
          <w:tcPr>
            <w:tcW w:w="4495" w:type="dxa"/>
            <w:shd w:val="clear" w:color="auto" w:fill="B4C6E7" w:themeFill="accent1" w:themeFillTint="66"/>
          </w:tcPr>
          <w:p w14:paraId="1A625C31" w14:textId="2B166A8A" w:rsidR="00694C33" w:rsidRPr="00847368" w:rsidRDefault="00694C33" w:rsidP="00151A8A">
            <w:pPr>
              <w:rPr>
                <w:rFonts w:ascii="Cambria" w:hAnsi="Cambria"/>
              </w:rPr>
            </w:pPr>
            <w:r w:rsidRPr="00847368">
              <w:rPr>
                <w:rFonts w:ascii="Cambria" w:hAnsi="Cambria"/>
              </w:rPr>
              <w:t>Student talks with offending person, aiming for resolution</w:t>
            </w:r>
            <w:r w:rsidR="004862AE">
              <w:rPr>
                <w:rFonts w:ascii="Cambria" w:hAnsi="Cambria"/>
              </w:rPr>
              <w:t>.</w:t>
            </w:r>
          </w:p>
        </w:tc>
        <w:tc>
          <w:tcPr>
            <w:tcW w:w="2790" w:type="dxa"/>
            <w:shd w:val="clear" w:color="auto" w:fill="B4C6E7" w:themeFill="accent1" w:themeFillTint="66"/>
          </w:tcPr>
          <w:p w14:paraId="4A777EB2" w14:textId="74032F53" w:rsidR="00694C33" w:rsidRPr="00847368" w:rsidRDefault="00694C33" w:rsidP="004862AE">
            <w:pPr>
              <w:jc w:val="center"/>
              <w:rPr>
                <w:rFonts w:ascii="Cambria" w:hAnsi="Cambria"/>
              </w:rPr>
            </w:pPr>
            <w:r w:rsidRPr="00847368">
              <w:rPr>
                <w:rFonts w:ascii="Cambria" w:hAnsi="Cambria"/>
              </w:rPr>
              <w:t xml:space="preserve">unspecified </w:t>
            </w:r>
            <w:proofErr w:type="gramStart"/>
            <w:r w:rsidRPr="00847368">
              <w:rPr>
                <w:rFonts w:ascii="Cambria" w:hAnsi="Cambria"/>
              </w:rPr>
              <w:t>period of time</w:t>
            </w:r>
            <w:proofErr w:type="gramEnd"/>
            <w:r w:rsidRPr="00847368">
              <w:rPr>
                <w:rFonts w:ascii="Cambria" w:hAnsi="Cambria"/>
              </w:rPr>
              <w:t xml:space="preserve">, but less than </w:t>
            </w:r>
            <w:r w:rsidR="00633ACD">
              <w:rPr>
                <w:rFonts w:ascii="Cambria" w:hAnsi="Cambria"/>
              </w:rPr>
              <w:t>30</w:t>
            </w:r>
            <w:r w:rsidRPr="00847368">
              <w:rPr>
                <w:rFonts w:ascii="Cambria" w:hAnsi="Cambria"/>
              </w:rPr>
              <w:t xml:space="preserve"> business days </w:t>
            </w:r>
            <w:r w:rsidRPr="00847368">
              <w:rPr>
                <w:rStyle w:val="FootnoteReference"/>
                <w:rFonts w:ascii="Cambria" w:hAnsi="Cambria"/>
              </w:rPr>
              <w:footnoteReference w:id="1"/>
            </w:r>
            <w:r w:rsidRPr="00847368">
              <w:rPr>
                <w:rFonts w:ascii="Cambria" w:hAnsi="Cambria"/>
              </w:rPr>
              <w:t xml:space="preserve"> if making a formal complaint</w:t>
            </w:r>
          </w:p>
        </w:tc>
        <w:tc>
          <w:tcPr>
            <w:tcW w:w="2065" w:type="dxa"/>
            <w:shd w:val="clear" w:color="auto" w:fill="B4C6E7" w:themeFill="accent1" w:themeFillTint="66"/>
          </w:tcPr>
          <w:p w14:paraId="654443A9" w14:textId="443519A7" w:rsidR="00694C33" w:rsidRPr="00847368" w:rsidRDefault="00694C33" w:rsidP="00847368">
            <w:pPr>
              <w:jc w:val="center"/>
              <w:rPr>
                <w:rFonts w:ascii="Cambria" w:hAnsi="Cambria"/>
              </w:rPr>
            </w:pPr>
            <w:r w:rsidRPr="00847368">
              <w:rPr>
                <w:rFonts w:ascii="Cambria" w:hAnsi="Cambria"/>
              </w:rPr>
              <w:t xml:space="preserve">Less than </w:t>
            </w:r>
            <w:r w:rsidR="00633ACD">
              <w:rPr>
                <w:rFonts w:ascii="Cambria" w:hAnsi="Cambria"/>
              </w:rPr>
              <w:t>30</w:t>
            </w:r>
            <w:r w:rsidRPr="00847368">
              <w:rPr>
                <w:rFonts w:ascii="Cambria" w:hAnsi="Cambria"/>
              </w:rPr>
              <w:t xml:space="preserve"> days</w:t>
            </w:r>
          </w:p>
        </w:tc>
      </w:tr>
      <w:tr w:rsidR="00694C33" w:rsidRPr="00847368" w14:paraId="2750AD79" w14:textId="77777777" w:rsidTr="009837B6">
        <w:tc>
          <w:tcPr>
            <w:tcW w:w="4495" w:type="dxa"/>
            <w:shd w:val="clear" w:color="auto" w:fill="D9E2F3" w:themeFill="accent1" w:themeFillTint="33"/>
          </w:tcPr>
          <w:p w14:paraId="09BA0C10" w14:textId="2601B8AC" w:rsidR="00694C33" w:rsidRPr="00847368" w:rsidRDefault="00694C33" w:rsidP="00151A8A">
            <w:pPr>
              <w:rPr>
                <w:rFonts w:ascii="Cambria" w:hAnsi="Cambria"/>
              </w:rPr>
            </w:pPr>
            <w:r w:rsidRPr="00847368">
              <w:rPr>
                <w:rFonts w:ascii="Cambria" w:hAnsi="Cambria"/>
              </w:rPr>
              <w:t>Student elevates complaint to professor, dept chair, or director who attempts to resolve informally</w:t>
            </w:r>
            <w:r w:rsidR="004862AE">
              <w:rPr>
                <w:rFonts w:ascii="Cambria" w:hAnsi="Cambria"/>
              </w:rPr>
              <w:t>.</w:t>
            </w:r>
          </w:p>
        </w:tc>
        <w:tc>
          <w:tcPr>
            <w:tcW w:w="2790" w:type="dxa"/>
            <w:shd w:val="clear" w:color="auto" w:fill="D9E2F3" w:themeFill="accent1" w:themeFillTint="33"/>
          </w:tcPr>
          <w:p w14:paraId="416D8A32" w14:textId="2447E69B" w:rsidR="00694C33" w:rsidRPr="00847368" w:rsidRDefault="00694C33" w:rsidP="004862AE">
            <w:pPr>
              <w:jc w:val="center"/>
              <w:rPr>
                <w:rFonts w:ascii="Cambria" w:hAnsi="Cambria"/>
              </w:rPr>
            </w:pPr>
            <w:r w:rsidRPr="00847368">
              <w:rPr>
                <w:rFonts w:ascii="Cambria" w:hAnsi="Cambria"/>
              </w:rPr>
              <w:t xml:space="preserve">unspecified </w:t>
            </w:r>
            <w:proofErr w:type="gramStart"/>
            <w:r w:rsidRPr="00847368">
              <w:rPr>
                <w:rFonts w:ascii="Cambria" w:hAnsi="Cambria"/>
              </w:rPr>
              <w:t>period of time</w:t>
            </w:r>
            <w:proofErr w:type="gramEnd"/>
            <w:r w:rsidRPr="00847368">
              <w:rPr>
                <w:rFonts w:ascii="Cambria" w:hAnsi="Cambria"/>
              </w:rPr>
              <w:t xml:space="preserve">, but less than </w:t>
            </w:r>
            <w:r w:rsidR="00633ACD">
              <w:rPr>
                <w:rFonts w:ascii="Cambria" w:hAnsi="Cambria"/>
              </w:rPr>
              <w:t>30</w:t>
            </w:r>
            <w:r w:rsidRPr="00847368">
              <w:rPr>
                <w:rFonts w:ascii="Cambria" w:hAnsi="Cambria"/>
              </w:rPr>
              <w:t xml:space="preserve"> </w:t>
            </w:r>
            <w:r w:rsidR="009837B6">
              <w:rPr>
                <w:rFonts w:ascii="Cambria" w:hAnsi="Cambria"/>
              </w:rPr>
              <w:t xml:space="preserve">business </w:t>
            </w:r>
            <w:r w:rsidRPr="00847368">
              <w:rPr>
                <w:rFonts w:ascii="Cambria" w:hAnsi="Cambria"/>
              </w:rPr>
              <w:t>days if making a formal complaint</w:t>
            </w:r>
          </w:p>
        </w:tc>
        <w:tc>
          <w:tcPr>
            <w:tcW w:w="2065" w:type="dxa"/>
            <w:shd w:val="clear" w:color="auto" w:fill="D9E2F3" w:themeFill="accent1" w:themeFillTint="33"/>
          </w:tcPr>
          <w:p w14:paraId="225B657A" w14:textId="0A9D52B8" w:rsidR="00694C33" w:rsidRPr="00847368" w:rsidRDefault="00694C33" w:rsidP="00847368">
            <w:pPr>
              <w:jc w:val="center"/>
              <w:rPr>
                <w:rFonts w:ascii="Cambria" w:hAnsi="Cambria"/>
              </w:rPr>
            </w:pPr>
            <w:r w:rsidRPr="00847368">
              <w:rPr>
                <w:rFonts w:ascii="Cambria" w:hAnsi="Cambria"/>
              </w:rPr>
              <w:t xml:space="preserve">Less than </w:t>
            </w:r>
            <w:r w:rsidR="00633ACD">
              <w:rPr>
                <w:rFonts w:ascii="Cambria" w:hAnsi="Cambria"/>
              </w:rPr>
              <w:t>30</w:t>
            </w:r>
            <w:r w:rsidRPr="00847368">
              <w:rPr>
                <w:rFonts w:ascii="Cambria" w:hAnsi="Cambria"/>
              </w:rPr>
              <w:t xml:space="preserve"> days</w:t>
            </w:r>
          </w:p>
        </w:tc>
      </w:tr>
      <w:tr w:rsidR="00694C33" w:rsidRPr="00847368" w14:paraId="09DF0792" w14:textId="77777777" w:rsidTr="009837B6">
        <w:tc>
          <w:tcPr>
            <w:tcW w:w="4495" w:type="dxa"/>
            <w:shd w:val="clear" w:color="auto" w:fill="D9E2F3" w:themeFill="accent1" w:themeFillTint="33"/>
          </w:tcPr>
          <w:p w14:paraId="5D1BBE9E" w14:textId="37F36733" w:rsidR="00694C33" w:rsidRPr="00847368" w:rsidRDefault="00694C33" w:rsidP="00151A8A">
            <w:pPr>
              <w:rPr>
                <w:rFonts w:ascii="Cambria" w:hAnsi="Cambria"/>
              </w:rPr>
            </w:pPr>
            <w:r w:rsidRPr="00847368">
              <w:rPr>
                <w:rFonts w:ascii="Cambria" w:hAnsi="Cambria"/>
              </w:rPr>
              <w:t>Student submits formal grievance to dept</w:t>
            </w:r>
            <w:r w:rsidR="009837B6">
              <w:rPr>
                <w:rFonts w:ascii="Cambria" w:hAnsi="Cambria"/>
              </w:rPr>
              <w:t xml:space="preserve"> chair</w:t>
            </w:r>
            <w:r w:rsidRPr="00847368">
              <w:rPr>
                <w:rFonts w:ascii="Cambria" w:hAnsi="Cambria"/>
              </w:rPr>
              <w:t>/director</w:t>
            </w:r>
            <w:r w:rsidR="004862AE">
              <w:rPr>
                <w:rFonts w:ascii="Cambria" w:hAnsi="Cambria"/>
              </w:rPr>
              <w:t>.</w:t>
            </w:r>
          </w:p>
        </w:tc>
        <w:tc>
          <w:tcPr>
            <w:tcW w:w="2790" w:type="dxa"/>
            <w:shd w:val="clear" w:color="auto" w:fill="D9E2F3" w:themeFill="accent1" w:themeFillTint="33"/>
          </w:tcPr>
          <w:p w14:paraId="0C6C8E11" w14:textId="7B5BEF65" w:rsidR="00694C33" w:rsidRPr="00847368" w:rsidRDefault="00694C33" w:rsidP="004862AE">
            <w:pPr>
              <w:jc w:val="center"/>
              <w:rPr>
                <w:rFonts w:ascii="Cambria" w:hAnsi="Cambria"/>
              </w:rPr>
            </w:pPr>
            <w:r w:rsidRPr="00847368">
              <w:rPr>
                <w:rFonts w:ascii="Cambria" w:hAnsi="Cambria"/>
              </w:rPr>
              <w:t xml:space="preserve">within </w:t>
            </w:r>
            <w:r w:rsidR="00633ACD">
              <w:rPr>
                <w:rFonts w:ascii="Cambria" w:hAnsi="Cambria"/>
              </w:rPr>
              <w:t>30</w:t>
            </w:r>
            <w:r w:rsidRPr="00847368">
              <w:rPr>
                <w:rFonts w:ascii="Cambria" w:hAnsi="Cambria"/>
              </w:rPr>
              <w:t xml:space="preserve"> business days of incident</w:t>
            </w:r>
          </w:p>
        </w:tc>
        <w:tc>
          <w:tcPr>
            <w:tcW w:w="2065" w:type="dxa"/>
            <w:shd w:val="clear" w:color="auto" w:fill="D9E2F3" w:themeFill="accent1" w:themeFillTint="33"/>
          </w:tcPr>
          <w:p w14:paraId="3B92CD69" w14:textId="38689E1B" w:rsidR="00694C33" w:rsidRPr="00847368" w:rsidRDefault="00633ACD" w:rsidP="00847368">
            <w:pPr>
              <w:jc w:val="center"/>
              <w:rPr>
                <w:rFonts w:ascii="Cambria" w:hAnsi="Cambria"/>
              </w:rPr>
            </w:pPr>
            <w:r>
              <w:rPr>
                <w:rFonts w:ascii="Cambria" w:hAnsi="Cambria"/>
              </w:rPr>
              <w:t>30</w:t>
            </w:r>
            <w:r w:rsidR="00694C33" w:rsidRPr="00847368">
              <w:rPr>
                <w:rFonts w:ascii="Cambria" w:hAnsi="Cambria"/>
              </w:rPr>
              <w:t xml:space="preserve"> days (</w:t>
            </w:r>
            <w:r>
              <w:rPr>
                <w:rFonts w:ascii="Cambria" w:hAnsi="Cambria"/>
              </w:rPr>
              <w:t>6</w:t>
            </w:r>
            <w:r w:rsidR="00694C33" w:rsidRPr="00847368">
              <w:rPr>
                <w:rFonts w:ascii="Cambria" w:hAnsi="Cambria"/>
              </w:rPr>
              <w:t xml:space="preserve"> weeks)</w:t>
            </w:r>
          </w:p>
        </w:tc>
      </w:tr>
      <w:tr w:rsidR="00694C33" w:rsidRPr="00847368" w14:paraId="5BC3A4E6" w14:textId="77777777" w:rsidTr="009837B6">
        <w:tc>
          <w:tcPr>
            <w:tcW w:w="4495" w:type="dxa"/>
            <w:shd w:val="clear" w:color="auto" w:fill="D9E2F3" w:themeFill="accent1" w:themeFillTint="33"/>
          </w:tcPr>
          <w:p w14:paraId="4C321806" w14:textId="7BA28CD5" w:rsidR="00694C33" w:rsidRPr="00847368" w:rsidRDefault="00694C33" w:rsidP="00151A8A">
            <w:pPr>
              <w:rPr>
                <w:rFonts w:ascii="Cambria" w:hAnsi="Cambria"/>
              </w:rPr>
            </w:pPr>
            <w:r w:rsidRPr="00847368">
              <w:rPr>
                <w:rFonts w:ascii="Cambria" w:hAnsi="Cambria"/>
              </w:rPr>
              <w:t>Chair/director convenes committee. Committee reviews and/or gathers information and makes recommendations. Chair</w:t>
            </w:r>
            <w:r w:rsidR="004862AE">
              <w:rPr>
                <w:rFonts w:ascii="Cambria" w:hAnsi="Cambria"/>
              </w:rPr>
              <w:t>/director</w:t>
            </w:r>
            <w:r w:rsidRPr="00847368">
              <w:rPr>
                <w:rFonts w:ascii="Cambria" w:hAnsi="Cambria"/>
              </w:rPr>
              <w:t xml:space="preserve"> provides decision.</w:t>
            </w:r>
          </w:p>
        </w:tc>
        <w:tc>
          <w:tcPr>
            <w:tcW w:w="2790" w:type="dxa"/>
            <w:shd w:val="clear" w:color="auto" w:fill="D9E2F3" w:themeFill="accent1" w:themeFillTint="33"/>
          </w:tcPr>
          <w:p w14:paraId="38D0698F" w14:textId="742194C9" w:rsidR="00694C33" w:rsidRPr="00847368" w:rsidRDefault="00694C33" w:rsidP="004862AE">
            <w:pPr>
              <w:jc w:val="center"/>
              <w:rPr>
                <w:rFonts w:ascii="Cambria" w:hAnsi="Cambria"/>
              </w:rPr>
            </w:pPr>
            <w:r w:rsidRPr="00847368">
              <w:rPr>
                <w:rFonts w:ascii="Cambria" w:hAnsi="Cambria"/>
              </w:rPr>
              <w:t>within 30 business days of receiving grievance</w:t>
            </w:r>
          </w:p>
        </w:tc>
        <w:tc>
          <w:tcPr>
            <w:tcW w:w="2065" w:type="dxa"/>
            <w:shd w:val="clear" w:color="auto" w:fill="D9E2F3" w:themeFill="accent1" w:themeFillTint="33"/>
          </w:tcPr>
          <w:p w14:paraId="2E6E6273" w14:textId="2606744A" w:rsidR="00694C33" w:rsidRPr="00847368" w:rsidRDefault="00633ACD" w:rsidP="00847368">
            <w:pPr>
              <w:jc w:val="center"/>
              <w:rPr>
                <w:rFonts w:ascii="Cambria" w:hAnsi="Cambria"/>
              </w:rPr>
            </w:pPr>
            <w:r>
              <w:rPr>
                <w:rFonts w:ascii="Cambria" w:hAnsi="Cambria"/>
              </w:rPr>
              <w:t>60</w:t>
            </w:r>
            <w:r w:rsidR="00694C33" w:rsidRPr="00847368">
              <w:rPr>
                <w:rFonts w:ascii="Cambria" w:hAnsi="Cambria"/>
              </w:rPr>
              <w:t xml:space="preserve"> days (1</w:t>
            </w:r>
            <w:r>
              <w:rPr>
                <w:rFonts w:ascii="Cambria" w:hAnsi="Cambria"/>
              </w:rPr>
              <w:t>2</w:t>
            </w:r>
            <w:r w:rsidR="00694C33" w:rsidRPr="00847368">
              <w:rPr>
                <w:rFonts w:ascii="Cambria" w:hAnsi="Cambria"/>
              </w:rPr>
              <w:t xml:space="preserve"> weeks)</w:t>
            </w:r>
          </w:p>
        </w:tc>
      </w:tr>
      <w:tr w:rsidR="00694C33" w:rsidRPr="00847368" w14:paraId="25ACB2AB" w14:textId="77777777" w:rsidTr="009837B6">
        <w:tc>
          <w:tcPr>
            <w:tcW w:w="4495" w:type="dxa"/>
            <w:shd w:val="clear" w:color="auto" w:fill="B4C6E7" w:themeFill="accent1" w:themeFillTint="66"/>
          </w:tcPr>
          <w:p w14:paraId="7B9A0490" w14:textId="52D4ABE9" w:rsidR="00694C33" w:rsidRPr="00847368" w:rsidRDefault="00694C33" w:rsidP="00151A8A">
            <w:pPr>
              <w:rPr>
                <w:rFonts w:ascii="Cambria" w:hAnsi="Cambria"/>
              </w:rPr>
            </w:pPr>
            <w:r w:rsidRPr="00847368">
              <w:rPr>
                <w:rFonts w:ascii="Cambria" w:hAnsi="Cambria"/>
              </w:rPr>
              <w:t xml:space="preserve">Notice of appeal to </w:t>
            </w:r>
            <w:r w:rsidR="00633ACD">
              <w:rPr>
                <w:rFonts w:ascii="Cambria" w:hAnsi="Cambria"/>
              </w:rPr>
              <w:t>senior associate dean</w:t>
            </w:r>
          </w:p>
        </w:tc>
        <w:tc>
          <w:tcPr>
            <w:tcW w:w="2790" w:type="dxa"/>
            <w:shd w:val="clear" w:color="auto" w:fill="B4C6E7" w:themeFill="accent1" w:themeFillTint="66"/>
          </w:tcPr>
          <w:p w14:paraId="5EADEF90" w14:textId="07573A2A" w:rsidR="00694C33" w:rsidRPr="00847368" w:rsidRDefault="00694C33" w:rsidP="004862AE">
            <w:pPr>
              <w:jc w:val="center"/>
              <w:rPr>
                <w:rFonts w:ascii="Cambria" w:hAnsi="Cambria"/>
              </w:rPr>
            </w:pPr>
            <w:r w:rsidRPr="00847368">
              <w:rPr>
                <w:rFonts w:ascii="Cambria" w:hAnsi="Cambria"/>
              </w:rPr>
              <w:t>within 5 business days</w:t>
            </w:r>
          </w:p>
        </w:tc>
        <w:tc>
          <w:tcPr>
            <w:tcW w:w="2065" w:type="dxa"/>
            <w:shd w:val="clear" w:color="auto" w:fill="B4C6E7" w:themeFill="accent1" w:themeFillTint="66"/>
          </w:tcPr>
          <w:p w14:paraId="51CC4CD7" w14:textId="64176E0D" w:rsidR="00694C33" w:rsidRPr="00847368" w:rsidRDefault="009837B6" w:rsidP="00847368">
            <w:pPr>
              <w:jc w:val="center"/>
              <w:rPr>
                <w:rFonts w:ascii="Cambria" w:hAnsi="Cambria"/>
              </w:rPr>
            </w:pPr>
            <w:r>
              <w:rPr>
                <w:rFonts w:ascii="Cambria" w:hAnsi="Cambria"/>
              </w:rPr>
              <w:t>65</w:t>
            </w:r>
            <w:r w:rsidR="00694C33" w:rsidRPr="00847368">
              <w:rPr>
                <w:rFonts w:ascii="Cambria" w:hAnsi="Cambria"/>
              </w:rPr>
              <w:t xml:space="preserve"> days (1</w:t>
            </w:r>
            <w:r>
              <w:rPr>
                <w:rFonts w:ascii="Cambria" w:hAnsi="Cambria"/>
              </w:rPr>
              <w:t>3</w:t>
            </w:r>
            <w:r w:rsidR="00694C33" w:rsidRPr="00847368">
              <w:rPr>
                <w:rFonts w:ascii="Cambria" w:hAnsi="Cambria"/>
              </w:rPr>
              <w:t xml:space="preserve"> weeks)</w:t>
            </w:r>
          </w:p>
        </w:tc>
      </w:tr>
      <w:tr w:rsidR="00694C33" w:rsidRPr="00847368" w14:paraId="651FAF83" w14:textId="77777777" w:rsidTr="009837B6">
        <w:tc>
          <w:tcPr>
            <w:tcW w:w="4495" w:type="dxa"/>
            <w:shd w:val="clear" w:color="auto" w:fill="B4C6E7" w:themeFill="accent1" w:themeFillTint="66"/>
          </w:tcPr>
          <w:p w14:paraId="6D4F0670" w14:textId="2048DA5F" w:rsidR="00694C33" w:rsidRPr="00847368" w:rsidRDefault="00694C33" w:rsidP="00151A8A">
            <w:pPr>
              <w:rPr>
                <w:rFonts w:ascii="Cambria" w:hAnsi="Cambria"/>
              </w:rPr>
            </w:pPr>
            <w:r w:rsidRPr="00847368">
              <w:rPr>
                <w:rFonts w:ascii="Cambria" w:hAnsi="Cambria"/>
              </w:rPr>
              <w:t xml:space="preserve">Written appeal to </w:t>
            </w:r>
            <w:r w:rsidR="00633ACD">
              <w:rPr>
                <w:rFonts w:ascii="Cambria" w:hAnsi="Cambria"/>
              </w:rPr>
              <w:t>senior associate dean</w:t>
            </w:r>
          </w:p>
        </w:tc>
        <w:tc>
          <w:tcPr>
            <w:tcW w:w="2790" w:type="dxa"/>
            <w:shd w:val="clear" w:color="auto" w:fill="B4C6E7" w:themeFill="accent1" w:themeFillTint="66"/>
          </w:tcPr>
          <w:p w14:paraId="0BB6D8FF" w14:textId="40A2A512" w:rsidR="00694C33" w:rsidRPr="00847368" w:rsidRDefault="00694C33" w:rsidP="004862AE">
            <w:pPr>
              <w:jc w:val="center"/>
              <w:rPr>
                <w:rFonts w:ascii="Cambria" w:hAnsi="Cambria"/>
              </w:rPr>
            </w:pPr>
            <w:r w:rsidRPr="00847368">
              <w:rPr>
                <w:rFonts w:ascii="Cambria" w:hAnsi="Cambria"/>
              </w:rPr>
              <w:t xml:space="preserve">within 10 days of </w:t>
            </w:r>
            <w:r w:rsidR="004862AE">
              <w:rPr>
                <w:rFonts w:ascii="Cambria" w:hAnsi="Cambria"/>
              </w:rPr>
              <w:t>dept/unit</w:t>
            </w:r>
            <w:r w:rsidRPr="00847368">
              <w:rPr>
                <w:rFonts w:ascii="Cambria" w:hAnsi="Cambria"/>
              </w:rPr>
              <w:t xml:space="preserve"> resolution</w:t>
            </w:r>
          </w:p>
        </w:tc>
        <w:tc>
          <w:tcPr>
            <w:tcW w:w="2065" w:type="dxa"/>
            <w:shd w:val="clear" w:color="auto" w:fill="B4C6E7" w:themeFill="accent1" w:themeFillTint="66"/>
          </w:tcPr>
          <w:p w14:paraId="00AF6E1B" w14:textId="23D11AE6" w:rsidR="00694C33" w:rsidRPr="00847368" w:rsidRDefault="009837B6" w:rsidP="00847368">
            <w:pPr>
              <w:jc w:val="center"/>
              <w:rPr>
                <w:rFonts w:ascii="Cambria" w:hAnsi="Cambria"/>
              </w:rPr>
            </w:pPr>
            <w:r>
              <w:rPr>
                <w:rFonts w:ascii="Cambria" w:hAnsi="Cambria"/>
              </w:rPr>
              <w:t>75</w:t>
            </w:r>
            <w:r w:rsidR="00694C33" w:rsidRPr="00847368">
              <w:rPr>
                <w:rFonts w:ascii="Cambria" w:hAnsi="Cambria"/>
              </w:rPr>
              <w:t xml:space="preserve"> days (1</w:t>
            </w:r>
            <w:r>
              <w:rPr>
                <w:rFonts w:ascii="Cambria" w:hAnsi="Cambria"/>
              </w:rPr>
              <w:t>5</w:t>
            </w:r>
            <w:r w:rsidR="00694C33" w:rsidRPr="00847368">
              <w:rPr>
                <w:rFonts w:ascii="Cambria" w:hAnsi="Cambria"/>
              </w:rPr>
              <w:t xml:space="preserve"> weeks)</w:t>
            </w:r>
          </w:p>
        </w:tc>
      </w:tr>
      <w:tr w:rsidR="00694C33" w:rsidRPr="00847368" w14:paraId="007C3029" w14:textId="77777777" w:rsidTr="009837B6">
        <w:tc>
          <w:tcPr>
            <w:tcW w:w="4495" w:type="dxa"/>
            <w:shd w:val="clear" w:color="auto" w:fill="B4C6E7" w:themeFill="accent1" w:themeFillTint="66"/>
          </w:tcPr>
          <w:p w14:paraId="0B9D2D27" w14:textId="3AA38B51" w:rsidR="00694C33" w:rsidRPr="00847368" w:rsidRDefault="00847368" w:rsidP="00151A8A">
            <w:pPr>
              <w:rPr>
                <w:rFonts w:ascii="Cambria" w:hAnsi="Cambria"/>
              </w:rPr>
            </w:pPr>
            <w:r w:rsidRPr="00847368">
              <w:rPr>
                <w:rFonts w:ascii="Cambria" w:hAnsi="Cambria"/>
              </w:rPr>
              <w:t>Assoc dean convenes committee. Committee reviews and/or gathers information and makes recommendations. Dean or designee provides decision</w:t>
            </w:r>
            <w:r w:rsidR="004862AE">
              <w:rPr>
                <w:rFonts w:ascii="Cambria" w:hAnsi="Cambria"/>
              </w:rPr>
              <w:t>.</w:t>
            </w:r>
          </w:p>
        </w:tc>
        <w:tc>
          <w:tcPr>
            <w:tcW w:w="2790" w:type="dxa"/>
            <w:shd w:val="clear" w:color="auto" w:fill="B4C6E7" w:themeFill="accent1" w:themeFillTint="66"/>
          </w:tcPr>
          <w:p w14:paraId="27D9FA13" w14:textId="00AB5167" w:rsidR="00694C33" w:rsidRPr="00847368" w:rsidRDefault="00847368" w:rsidP="004862AE">
            <w:pPr>
              <w:jc w:val="center"/>
              <w:rPr>
                <w:rFonts w:ascii="Cambria" w:hAnsi="Cambria"/>
              </w:rPr>
            </w:pPr>
            <w:r w:rsidRPr="00847368">
              <w:rPr>
                <w:rFonts w:ascii="Cambria" w:hAnsi="Cambria"/>
              </w:rPr>
              <w:t xml:space="preserve">within </w:t>
            </w:r>
            <w:r w:rsidR="00A82104">
              <w:rPr>
                <w:rFonts w:ascii="Cambria" w:hAnsi="Cambria"/>
              </w:rPr>
              <w:t>3</w:t>
            </w:r>
            <w:r w:rsidRPr="00847368">
              <w:rPr>
                <w:rFonts w:ascii="Cambria" w:hAnsi="Cambria"/>
              </w:rPr>
              <w:t>0 days of receiving appeal</w:t>
            </w:r>
          </w:p>
        </w:tc>
        <w:tc>
          <w:tcPr>
            <w:tcW w:w="2065" w:type="dxa"/>
            <w:shd w:val="clear" w:color="auto" w:fill="B4C6E7" w:themeFill="accent1" w:themeFillTint="66"/>
          </w:tcPr>
          <w:p w14:paraId="705B7AA0" w14:textId="40F80A7F" w:rsidR="00694C33" w:rsidRPr="00847368" w:rsidRDefault="00A82104" w:rsidP="00847368">
            <w:pPr>
              <w:jc w:val="center"/>
              <w:rPr>
                <w:rFonts w:ascii="Cambria" w:hAnsi="Cambria"/>
              </w:rPr>
            </w:pPr>
            <w:r>
              <w:rPr>
                <w:rFonts w:ascii="Cambria" w:hAnsi="Cambria"/>
              </w:rPr>
              <w:t>10</w:t>
            </w:r>
            <w:r w:rsidR="009837B6">
              <w:rPr>
                <w:rFonts w:ascii="Cambria" w:hAnsi="Cambria"/>
              </w:rPr>
              <w:t>5</w:t>
            </w:r>
            <w:r w:rsidR="00847368" w:rsidRPr="00847368">
              <w:rPr>
                <w:rFonts w:ascii="Cambria" w:hAnsi="Cambria"/>
              </w:rPr>
              <w:t xml:space="preserve"> days (</w:t>
            </w:r>
            <w:r>
              <w:rPr>
                <w:rFonts w:ascii="Cambria" w:hAnsi="Cambria"/>
              </w:rPr>
              <w:t>20</w:t>
            </w:r>
            <w:r w:rsidR="00847368" w:rsidRPr="00847368">
              <w:rPr>
                <w:rFonts w:ascii="Cambria" w:hAnsi="Cambria"/>
              </w:rPr>
              <w:t xml:space="preserve"> weeks)</w:t>
            </w:r>
          </w:p>
        </w:tc>
      </w:tr>
      <w:tr w:rsidR="00694C33" w:rsidRPr="00847368" w14:paraId="6596C637" w14:textId="77777777" w:rsidTr="009837B6">
        <w:tc>
          <w:tcPr>
            <w:tcW w:w="4495" w:type="dxa"/>
            <w:shd w:val="clear" w:color="auto" w:fill="E7E6E6" w:themeFill="background2"/>
          </w:tcPr>
          <w:p w14:paraId="6A1664ED" w14:textId="25D74412" w:rsidR="00694C33" w:rsidRPr="00847368" w:rsidRDefault="00847368" w:rsidP="00151A8A">
            <w:pPr>
              <w:rPr>
                <w:rFonts w:ascii="Cambria" w:hAnsi="Cambria"/>
              </w:rPr>
            </w:pPr>
            <w:r w:rsidRPr="00847368">
              <w:rPr>
                <w:rFonts w:ascii="Cambria" w:hAnsi="Cambria"/>
                <w:b/>
                <w:bCs/>
              </w:rPr>
              <w:t>Grad students only,</w:t>
            </w:r>
            <w:r w:rsidRPr="00847368">
              <w:rPr>
                <w:rFonts w:ascii="Cambria" w:hAnsi="Cambria"/>
              </w:rPr>
              <w:t xml:space="preserve"> additional appeal </w:t>
            </w:r>
            <w:r w:rsidR="004862AE">
              <w:rPr>
                <w:rFonts w:ascii="Cambria" w:hAnsi="Cambria"/>
              </w:rPr>
              <w:t>using</w:t>
            </w:r>
            <w:r w:rsidRPr="00847368">
              <w:rPr>
                <w:rFonts w:ascii="Cambria" w:hAnsi="Cambria"/>
              </w:rPr>
              <w:t xml:space="preserve"> Grad School</w:t>
            </w:r>
            <w:r w:rsidR="004862AE">
              <w:rPr>
                <w:rFonts w:ascii="Cambria" w:hAnsi="Cambria"/>
              </w:rPr>
              <w:t xml:space="preserve"> procedures</w:t>
            </w:r>
          </w:p>
        </w:tc>
        <w:tc>
          <w:tcPr>
            <w:tcW w:w="2790" w:type="dxa"/>
            <w:shd w:val="clear" w:color="auto" w:fill="E7E6E6" w:themeFill="background2"/>
          </w:tcPr>
          <w:p w14:paraId="782ABA53" w14:textId="5B57DF14" w:rsidR="00694C33" w:rsidRPr="00847368" w:rsidRDefault="004862AE" w:rsidP="004862AE">
            <w:pPr>
              <w:jc w:val="center"/>
              <w:rPr>
                <w:rFonts w:ascii="Cambria" w:hAnsi="Cambria"/>
              </w:rPr>
            </w:pPr>
            <w:r>
              <w:rPr>
                <w:rFonts w:ascii="Cambria" w:hAnsi="Cambria"/>
              </w:rPr>
              <w:t>Roughly 24-32 weeks</w:t>
            </w:r>
          </w:p>
        </w:tc>
        <w:tc>
          <w:tcPr>
            <w:tcW w:w="2065" w:type="dxa"/>
            <w:shd w:val="clear" w:color="auto" w:fill="E7E6E6" w:themeFill="background2"/>
          </w:tcPr>
          <w:p w14:paraId="1A3B0761" w14:textId="77777777" w:rsidR="00694C33" w:rsidRPr="00847368" w:rsidRDefault="00694C33" w:rsidP="00847368">
            <w:pPr>
              <w:jc w:val="center"/>
              <w:rPr>
                <w:rFonts w:ascii="Cambria" w:hAnsi="Cambria"/>
              </w:rPr>
            </w:pPr>
          </w:p>
        </w:tc>
      </w:tr>
    </w:tbl>
    <w:p w14:paraId="2C431EDA" w14:textId="77777777" w:rsidR="00151A8A" w:rsidRPr="00847368" w:rsidRDefault="00151A8A" w:rsidP="00151A8A">
      <w:pPr>
        <w:rPr>
          <w:rFonts w:ascii="Cambria" w:hAnsi="Cambria"/>
        </w:rPr>
      </w:pPr>
    </w:p>
    <w:sectPr w:rsidR="00151A8A" w:rsidRPr="00847368" w:rsidSect="00351A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16D8" w14:textId="77777777" w:rsidR="001B2946" w:rsidRDefault="001B2946" w:rsidP="00694C33">
      <w:r>
        <w:separator/>
      </w:r>
    </w:p>
  </w:endnote>
  <w:endnote w:type="continuationSeparator" w:id="0">
    <w:p w14:paraId="5995D34D" w14:textId="77777777" w:rsidR="001B2946" w:rsidRDefault="001B2946" w:rsidP="0069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8F67" w14:textId="77777777" w:rsidR="001B2946" w:rsidRDefault="001B2946" w:rsidP="00694C33">
      <w:r>
        <w:separator/>
      </w:r>
    </w:p>
  </w:footnote>
  <w:footnote w:type="continuationSeparator" w:id="0">
    <w:p w14:paraId="2C84AD29" w14:textId="77777777" w:rsidR="001B2946" w:rsidRDefault="001B2946" w:rsidP="00694C33">
      <w:r>
        <w:continuationSeparator/>
      </w:r>
    </w:p>
  </w:footnote>
  <w:footnote w:id="1">
    <w:p w14:paraId="1A5B5629" w14:textId="1D850840" w:rsidR="00694C33" w:rsidRPr="009837B6" w:rsidRDefault="00694C33" w:rsidP="009837B6">
      <w:pPr>
        <w:rPr>
          <w:rFonts w:ascii="Cambria" w:eastAsia="Times New Roman" w:hAnsi="Cambria" w:cs="Times New Roman"/>
          <w:sz w:val="20"/>
          <w:szCs w:val="20"/>
        </w:rPr>
      </w:pPr>
      <w:r>
        <w:rPr>
          <w:rStyle w:val="FootnoteReference"/>
        </w:rPr>
        <w:footnoteRef/>
      </w:r>
      <w:r>
        <w:t xml:space="preserve"> </w:t>
      </w:r>
      <w:proofErr w:type="gramStart"/>
      <w:r w:rsidR="00847368" w:rsidRPr="00C60C80">
        <w:rPr>
          <w:rFonts w:ascii="Cambria" w:hAnsi="Cambria"/>
          <w:sz w:val="20"/>
          <w:szCs w:val="20"/>
        </w:rPr>
        <w:t>For the purpose of</w:t>
      </w:r>
      <w:proofErr w:type="gramEnd"/>
      <w:r w:rsidR="00847368" w:rsidRPr="00C60C80">
        <w:rPr>
          <w:rFonts w:ascii="Cambria" w:hAnsi="Cambria"/>
          <w:sz w:val="20"/>
          <w:szCs w:val="20"/>
        </w:rPr>
        <w:t xml:space="preserve"> this policy, business days refers to those days when the University Offices are open and shall not include weekends, university holidays, spring recess, or the period from the last day of exams of the fall semester to the first day of the spring semester. All time limits may be modified by mutual consent of the parties involved.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60D96"/>
    <w:multiLevelType w:val="hybridMultilevel"/>
    <w:tmpl w:val="2A92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20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8A"/>
    <w:rsid w:val="00151A8A"/>
    <w:rsid w:val="001B2946"/>
    <w:rsid w:val="00206C2A"/>
    <w:rsid w:val="00351A26"/>
    <w:rsid w:val="004862AE"/>
    <w:rsid w:val="0052201C"/>
    <w:rsid w:val="00633ACD"/>
    <w:rsid w:val="00694C33"/>
    <w:rsid w:val="00847368"/>
    <w:rsid w:val="008C7346"/>
    <w:rsid w:val="00922C00"/>
    <w:rsid w:val="009837B6"/>
    <w:rsid w:val="00A82104"/>
    <w:rsid w:val="00C728BD"/>
    <w:rsid w:val="00FF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52E5"/>
  <w15:chartTrackingRefBased/>
  <w15:docId w15:val="{8FF2D184-EBFF-104E-B4C7-BB2650C5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8A"/>
    <w:pPr>
      <w:ind w:left="720"/>
      <w:contextualSpacing/>
    </w:pPr>
  </w:style>
  <w:style w:type="table" w:styleId="TableGrid">
    <w:name w:val="Table Grid"/>
    <w:basedOn w:val="TableNormal"/>
    <w:uiPriority w:val="39"/>
    <w:rsid w:val="00694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4C33"/>
    <w:rPr>
      <w:sz w:val="20"/>
      <w:szCs w:val="20"/>
    </w:rPr>
  </w:style>
  <w:style w:type="character" w:customStyle="1" w:styleId="FootnoteTextChar">
    <w:name w:val="Footnote Text Char"/>
    <w:basedOn w:val="DefaultParagraphFont"/>
    <w:link w:val="FootnoteText"/>
    <w:uiPriority w:val="99"/>
    <w:semiHidden/>
    <w:rsid w:val="00694C33"/>
    <w:rPr>
      <w:sz w:val="20"/>
      <w:szCs w:val="20"/>
    </w:rPr>
  </w:style>
  <w:style w:type="character" w:styleId="FootnoteReference">
    <w:name w:val="footnote reference"/>
    <w:basedOn w:val="DefaultParagraphFont"/>
    <w:uiPriority w:val="99"/>
    <w:semiHidden/>
    <w:unhideWhenUsed/>
    <w:rsid w:val="0069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 KLAWITTER</dc:creator>
  <cp:keywords/>
  <dc:description/>
  <cp:lastModifiedBy>Maddie Sychta</cp:lastModifiedBy>
  <cp:revision>2</cp:revision>
  <dcterms:created xsi:type="dcterms:W3CDTF">2022-06-09T13:04:00Z</dcterms:created>
  <dcterms:modified xsi:type="dcterms:W3CDTF">2022-06-09T13:04:00Z</dcterms:modified>
</cp:coreProperties>
</file>